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Татьяна Терентьева: «Будущее экономики стран БРИКС+ связано с качеством кадрового капитала, у нашего партнерства большой потенциал»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Росатом рассказал о совместных проектах по развитию навыков для энергоперехода в рамках председательства России в объединении BRICS+ в 2024 году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Такое заявление сделала заместитель генерального директора по персоналу Росатома </w:t>
      </w:r>
      <w:r>
        <w:rPr>
          <w:b/>
          <w:i/>
          <w:sz w:val="24"/>
          <w:szCs w:val="24"/>
        </w:rPr>
        <w:t>Татьяна Терентьева</w:t>
      </w:r>
      <w:r>
        <w:rPr>
          <w:i/>
          <w:sz w:val="24"/>
          <w:szCs w:val="24"/>
        </w:rPr>
        <w:t xml:space="preserve"> в ходе своего доклада на сессии 28-й Климатической конференции ООН в преддверии председательства России в БРИКС. Выступление прошло в рамках официальной презентации российской части исследования БРИКС в области управления персоналом в отношении навыков, необходимых для эффективного энергетического перехода.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«Наша страна в следующем году будет председателем в объединении BRICS+. В этом году мы совместно сделали хорошие заделы и наметили общие задачи, над которыми будем работать в 2024 году. Я надеюсь, что мы перейдем к реальным проектам в формате совместных образовательных программ, обмена опытом, интеграции профессиональных стандартов и квалификаций, программ подготовки профессионалов по критическим специальностям, необходимым для энергоперехода. Как Росатом, в этом году мы объявили о создании проекта „Обнинск ТЕХ“ — научно-образовательного кластера по ядерным и смежным технологиям. Лично я считаю, что этот международный центр может стать одним из образовательных хабов БРИКС, который привлечет талантливую молодежь для получения прорывного практико-ориентированного образования», — отметила </w:t>
      </w:r>
      <w:r>
        <w:rPr>
          <w:b/>
          <w:sz w:val="24"/>
          <w:szCs w:val="24"/>
        </w:rPr>
        <w:t xml:space="preserve">Татьяна Терентьева </w:t>
      </w:r>
      <w:r>
        <w:rPr>
          <w:sz w:val="24"/>
          <w:szCs w:val="24"/>
        </w:rPr>
        <w:t>в рамках доклада.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Также спикер подчеркнула, что «представленный доклад отражает суть нашего мнения как группы БРИКС о ключевой роли необходимых навыков в ускорении энергетического перехода в наших странах. В нем также показаны области, где необходимо более тесное сотрудничество, и как наши экономики могут дополнять друг друга. Мы надеемся, что в следующем году эта повестка станет важной частью российского председательства и на энергетическом треке».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панельной дискуссии также приняли участие д-р </w:t>
      </w:r>
      <w:r>
        <w:rPr>
          <w:b/>
          <w:sz w:val="24"/>
          <w:szCs w:val="24"/>
        </w:rPr>
        <w:t>Званани Титус Мате</w:t>
      </w:r>
      <w:r>
        <w:rPr>
          <w:sz w:val="24"/>
          <w:szCs w:val="24"/>
        </w:rPr>
        <w:t xml:space="preserve">, генеральный директор, Южноафриканский институт энергетического развития; </w:t>
      </w:r>
      <w:r>
        <w:rPr>
          <w:b/>
          <w:sz w:val="24"/>
          <w:szCs w:val="24"/>
        </w:rPr>
        <w:t>Алексей Кулапин</w:t>
      </w:r>
      <w:r>
        <w:rPr>
          <w:sz w:val="24"/>
          <w:szCs w:val="24"/>
        </w:rPr>
        <w:t xml:space="preserve">, генеральный директор, ФГБУ «РЭА» Минэнерго России; </w:t>
      </w:r>
      <w:r>
        <w:rPr>
          <w:b/>
          <w:sz w:val="24"/>
          <w:szCs w:val="24"/>
        </w:rPr>
        <w:t>Мустафа Гюйе</w:t>
      </w:r>
      <w:r>
        <w:rPr>
          <w:sz w:val="24"/>
          <w:szCs w:val="24"/>
        </w:rPr>
        <w:t xml:space="preserve">, координатор программ по развитию навыков в области зеленой энергетики, МОТ, член Наблюдательного комитета по подготовке Исследования БРИКС; </w:t>
      </w:r>
      <w:r>
        <w:rPr>
          <w:b/>
          <w:sz w:val="24"/>
          <w:szCs w:val="24"/>
        </w:rPr>
        <w:t>Мохамад Амин Надериан</w:t>
      </w:r>
      <w:r>
        <w:rPr>
          <w:sz w:val="24"/>
          <w:szCs w:val="24"/>
        </w:rPr>
        <w:t xml:space="preserve">, глава Департамента энергетики, экономики и прогнозирования, Форум стран — экспортеров газа (ФСЭГ); </w:t>
      </w:r>
      <w:r>
        <w:rPr>
          <w:b/>
          <w:sz w:val="24"/>
          <w:szCs w:val="24"/>
        </w:rPr>
        <w:t>Самах Эльсаид</w:t>
      </w:r>
      <w:r>
        <w:rPr>
          <w:sz w:val="24"/>
          <w:szCs w:val="24"/>
        </w:rPr>
        <w:t xml:space="preserve">, программный директор по развитию образовательных программ в области ВИЭ, IRENA, и </w:t>
      </w:r>
      <w:r>
        <w:rPr>
          <w:b/>
          <w:sz w:val="24"/>
          <w:szCs w:val="24"/>
        </w:rPr>
        <w:t>Екатерина Салугина-Сороковая</w:t>
      </w:r>
      <w:r>
        <w:rPr>
          <w:sz w:val="24"/>
          <w:szCs w:val="24"/>
        </w:rPr>
        <w:t>, первый вице-президент, АО «Газпромбанк».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Почетным гостем сессии стал </w:t>
      </w:r>
      <w:r>
        <w:rPr>
          <w:b/>
          <w:sz w:val="24"/>
          <w:szCs w:val="24"/>
        </w:rPr>
        <w:t>Гведе Манташе</w:t>
      </w:r>
      <w:r>
        <w:rPr>
          <w:sz w:val="24"/>
          <w:szCs w:val="24"/>
        </w:rPr>
        <w:t>, министр горнодобывающей промышленности и энергетики Южно-Африканской Республики.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ходе дальнейшего обсуждения итогов исследования Платформы энергетических исследований БРИКС участники панельной дискуссии отметили, что справедливый энергетический переход требует решения странами БРИКС стратегической задачи — обеспечения зеленой трансформации рынка труда. Это связано с тем, что страны БРИКС в мировом потреблении и производстве энергии </w:t>
      </w:r>
      <w:r>
        <w:rPr>
          <w:b/>
          <w:sz w:val="24"/>
          <w:szCs w:val="24"/>
        </w:rPr>
        <w:t>вырастут до 41% к 2040 году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данный момент страны объединения уже обладают крупнейшими в мире трудовыми ресурсами — </w:t>
      </w:r>
      <w:r>
        <w:rPr>
          <w:b/>
          <w:sz w:val="24"/>
          <w:szCs w:val="24"/>
        </w:rPr>
        <w:t>3,22 миллиарда человек, или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41,13% мирового населения.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Участники дискуссии также подчеркнули необходимость выполнения обязательств по содействию занятости в целях устойчивого развития. Это включает как развитие навыков для обеспечения устойчивого восстановления [от пандемии COVID-19], так и гендерно ориентированной политики занятости, социальной защиты и прав трудящихся, что отражается в декларациях глав государств БРИКС. А критически важным фактором формирования более устойчивого и сбалансированного рынка труда в энергетике названо раскрытие потенциала женщин-профессионалов и молодежи.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Ключевые выводы отчета о навыках для энергетического перехода по рынку труда:</w:t>
      </w:r>
    </w:p>
    <w:p>
      <w:pPr>
        <w:pStyle w:val="Normal1"/>
        <w:spacing w:lineRule="auto" w:line="240" w:before="240" w:after="240"/>
        <w:ind w:left="700" w:hanging="0"/>
        <w:jc w:val="both"/>
        <w:rPr>
          <w:sz w:val="24"/>
          <w:szCs w:val="24"/>
        </w:rPr>
      </w:pPr>
      <w:r>
        <w:rPr>
          <w:sz w:val="24"/>
          <w:szCs w:val="24"/>
        </w:rPr>
        <w:t>· энергетический сектор БРИКС уже сейчас конкурентоспособен с позиции дохода: оплата труда у более чем половины опрошенных компаний стран БРИКС превышает на 30% средний уровень по региону;</w:t>
      </w:r>
    </w:p>
    <w:p>
      <w:pPr>
        <w:pStyle w:val="Normal1"/>
        <w:spacing w:lineRule="auto" w:line="240" w:before="240" w:after="240"/>
        <w:ind w:left="700" w:hanging="0"/>
        <w:jc w:val="both"/>
        <w:rPr>
          <w:sz w:val="24"/>
          <w:szCs w:val="24"/>
        </w:rPr>
      </w:pPr>
      <w:r>
        <w:rPr>
          <w:sz w:val="24"/>
          <w:szCs w:val="24"/>
        </w:rPr>
        <w:t>· основные пробелы наблюдаются в «цифровых» навыках, критически важных для энергетического перехода;</w:t>
      </w:r>
    </w:p>
    <w:p>
      <w:pPr>
        <w:pStyle w:val="Normal1"/>
        <w:spacing w:lineRule="auto" w:line="240" w:before="240" w:after="240"/>
        <w:ind w:left="700" w:hanging="0"/>
        <w:jc w:val="both"/>
        <w:rPr>
          <w:sz w:val="24"/>
          <w:szCs w:val="24"/>
        </w:rPr>
      </w:pPr>
      <w:r>
        <w:rPr>
          <w:sz w:val="24"/>
          <w:szCs w:val="24"/>
        </w:rPr>
        <w:t>· отрасль интересна для молодежи: в ½ опрошенных компаний стран БРИКС доля сотрудников в возрасте до 35 лет составляет от 25 до 50%, а в 16% опрошенных — свыше 50%;</w:t>
      </w:r>
    </w:p>
    <w:p>
      <w:pPr>
        <w:pStyle w:val="Normal1"/>
        <w:spacing w:lineRule="auto" w:line="240" w:before="240" w:after="240"/>
        <w:ind w:left="700" w:hanging="0"/>
        <w:jc w:val="both"/>
        <w:rPr>
          <w:sz w:val="24"/>
          <w:szCs w:val="24"/>
        </w:rPr>
      </w:pPr>
      <w:r>
        <w:rPr>
          <w:sz w:val="24"/>
          <w:szCs w:val="24"/>
        </w:rPr>
        <w:t>· проблема гендерного баланса в энергетике сохраняется: свыше половины компаний заявили, что менее 25% руководящих должностей занимают женщины;</w:t>
      </w:r>
    </w:p>
    <w:p>
      <w:pPr>
        <w:pStyle w:val="Normal1"/>
        <w:spacing w:lineRule="auto" w:line="240" w:before="240" w:after="240"/>
        <w:ind w:left="700" w:hanging="0"/>
        <w:jc w:val="both"/>
        <w:rPr>
          <w:sz w:val="24"/>
          <w:szCs w:val="24"/>
        </w:rPr>
      </w:pPr>
      <w:r>
        <w:rPr>
          <w:sz w:val="24"/>
          <w:szCs w:val="24"/>
        </w:rPr>
        <w:t>· в среднем, свыше 40% компаний отрасли в БРИКС активно занимаются профориентационной работой, в частности организуют практики, корпоративные стипендии и оказывают поддержку в трудоустройстве;</w:t>
      </w:r>
    </w:p>
    <w:p>
      <w:pPr>
        <w:pStyle w:val="Normal1"/>
        <w:spacing w:lineRule="auto" w:line="240" w:before="240" w:after="240"/>
        <w:ind w:left="700" w:hanging="0"/>
        <w:jc w:val="both"/>
        <w:rPr>
          <w:sz w:val="24"/>
          <w:szCs w:val="24"/>
        </w:rPr>
      </w:pPr>
      <w:r>
        <w:rPr>
          <w:sz w:val="24"/>
          <w:szCs w:val="24"/>
        </w:rPr>
        <w:t>· экспертиза стран БРИКС в энергетике комплементарна: обмен кадрами способен обеспечить потребность стран объединения в специалистах и ускорить переход к более справедливому и отвечающему задачам стран энергетическому балансу.</w:t>
      </w:r>
    </w:p>
    <w:p>
      <w:pPr>
        <w:pStyle w:val="Normal1"/>
        <w:spacing w:lineRule="auto" w:line="240" w:before="240" w:after="240"/>
        <w:ind w:left="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Энергетический переход </w:t>
      </w:r>
      <w:r>
        <w:rPr>
          <w:i/>
          <w:sz w:val="24"/>
          <w:szCs w:val="24"/>
        </w:rPr>
        <w:t>— это структурное преобразование глобального энергетического баланса с сокращением доли ископаемого топлива и расширением использования зеленых и устойчивых источников энергии в целях решения климатической проблемы. Подразумевает технологические прорывы в области энергоэффективности, декарбонизации (ВИЭ, накопители, водород, улавливание углерода), децентрализации и цифровизации.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Платформа энергетических исследований БРИКС</w:t>
      </w:r>
      <w:r>
        <w:rPr>
          <w:i/>
          <w:sz w:val="24"/>
          <w:szCs w:val="24"/>
        </w:rPr>
        <w:t xml:space="preserve"> запущена в 2019 году по инициативе России решением министров энергетики Бразилии, России, Индии, Китая и ЮАР. Ее задачей является организация межгосударственного сотрудничества в области исследований, обмена технологиями, продвижения инноваций в целях укрепления энергетической безопасности стран БРИКС и обеспечения всеобщего доступа к надежным, устойчивым и современным источникам энергии. Российский секретариат Платформы выполняет роль «единого окна» для урегулирования всего спектра вопросов по энергетическому сотрудничеству: сопровождение приоритетных направлений деятельности Платформы, продвижение результатов исследований на крупнейших международных площадках, организация дискуссий для экспертов Платформы для выработки единой позиции, содействие формированию и реализации совместных инвестиционных проектов, координация молодежных образовательных программ.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Россия продолжает вести конструктивный диалог со своими зарубежными коллегами, развивая сотрудничество со странами из всех уголков мира и активно формируя многополярную систему международных отношений. 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Нашими союзниками являются наиболее динамично развивающиеся сегодня экономики мира — Бразилия, Индия, Китай и ЮАР, что открывает государству новые возможности и перспективы для укрепления экономических связей и формирования новых инструментов взаимодействия по расширению вектора двусторонних интересов государств.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860</Words>
  <Characters>6232</Characters>
  <CharactersWithSpaces>7089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