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B73AC" w:rsidRDefault="001405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Программа экологического мониторинга акватории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Северного морского пути</w:t>
      </w:r>
    </w:p>
    <w:p w14:paraId="00000002" w14:textId="77777777" w:rsidR="003B73AC" w:rsidRDefault="003B73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3" w14:textId="77777777" w:rsidR="003B73AC" w:rsidRDefault="001405F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Комплексное развитие Арктической зоны Российской Федерации является одним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из стратегических приоритетов государства. Повышение объема перевозок по Северному морскому пути (далее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СМП) имеет первостепенное значение для решения поставленных задач в области транспорта и доставки грузов. Развитие этого логистического коридора обеспечивается за счет налаживания регулярных грузоперевозок, постройки новых атомных ледоколов и модернизации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соответствующей инфраструктуры. Предприятия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принимают активное участие в этой работе.</w:t>
      </w:r>
      <w:r>
        <w:t xml:space="preserve"> </w:t>
      </w:r>
    </w:p>
    <w:p w14:paraId="00000004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2018 году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была определена инфраструктурным оператором СМП.</w:t>
      </w:r>
    </w:p>
    <w:p w14:paraId="00000005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Комплексное развитие Арктики и превращение СМП в круглогоди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чный транспортно-логистический маршрут требуют обеспечения безопасного и устойчивого арктического судоходства, а создание современной и эффективной портовой инфраструктуры предполагает постоянный контроль за состоянием прилежащих к СМП водных и наземных 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ктических экосистем.</w:t>
      </w:r>
    </w:p>
    <w:p w14:paraId="00000006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экологической безопасности Арктики имеет ключевое значение для развития региона и возможно при применении системного подхода, включающего как нормативно-правовое обеспечение, так и управленческие, навигационные и технологич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еские решения, а также оперативное взаимодействие органов власти,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природопользователей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экспертного сообщества.</w:t>
      </w:r>
    </w:p>
    <w:p w14:paraId="00000007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наиболее эффективных механизмов получения необходимой информации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состоянии окружающей среды в Арктическом регионе, его биоразнообра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зии и его изменениях является мониторинг состояния окружающей среды, проводимый на постоянной основе с максимально возможным территориальным охватом и применением современных технологий. Меры по выявлению, предупреждению и устранению угроз безопасности, 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кализации и нейтрализации последствий их проявления, включая дистанционные методы экологических исследований, подготовленные в соответствии с общепринятыми международными стандартами, помогают в составлении своевременных прогнозов и при анализе обстановки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северных морях.</w:t>
      </w:r>
    </w:p>
    <w:p w14:paraId="00000008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обеспечения экологической безопасности региона, с уч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глобальных экологических изменений, а также нарастающей интенсивности судоходства по СМП, ведется работа по созданию обширной программы комплексных и систематических исследовани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окружающей среды. </w:t>
      </w:r>
    </w:p>
    <w:p w14:paraId="00000009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Важным шагом на данном пути стал совместный проект Центра морских исследований Московского государственного университета им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В. Ломоносова (далее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ЦМИ МГУ)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запущенный в 2021 году.</w:t>
      </w:r>
    </w:p>
    <w:p w14:paraId="0000000A" w14:textId="77777777" w:rsidR="003B73AC" w:rsidRDefault="001405FE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проекта:</w:t>
      </w:r>
    </w:p>
    <w:p w14:paraId="0000000B" w14:textId="77777777" w:rsidR="003B73AC" w:rsidRDefault="00140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устойчивого судоходства на СМП;</w:t>
      </w:r>
    </w:p>
    <w:p w14:paraId="0000000C" w14:textId="77777777" w:rsidR="003B73AC" w:rsidRDefault="00140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комплексная оценка текущего состояния окружающей среды в акватории СМП;</w:t>
      </w:r>
    </w:p>
    <w:p w14:paraId="0000000D" w14:textId="77777777" w:rsidR="003B73AC" w:rsidRDefault="00140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влияния арктического судоходства и развития инфраструктуры на биоразнообразие Арктики;</w:t>
      </w:r>
    </w:p>
    <w:p w14:paraId="0000000E" w14:textId="77777777" w:rsidR="003B73AC" w:rsidRDefault="00140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комплексной программы мониторинга состояния окружающей среды и биоразнообразия в акватории СМП в соответствии с передовыми мировыми практиками.</w:t>
      </w:r>
    </w:p>
    <w:p w14:paraId="0000000F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центре внимания — каботажное и транзитное арктическое судоходство, а также портовая инфраструктура СМП на этапе ее строительства и эксплуатации.</w:t>
      </w:r>
    </w:p>
    <w:p w14:paraId="00000010" w14:textId="77777777" w:rsidR="003B73AC" w:rsidRDefault="001405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Полевые работы </w:t>
      </w:r>
    </w:p>
    <w:p w14:paraId="00000011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Полевые работы в границах акватории СМП проводились в летне-осенний сезон 2021 и 2022 г. с 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следовательских судов «Алексей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Марышев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«Иван Киреев», «Профессор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Логачёв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а также с атомного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лихтеровоза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Севморпуть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В 2023 году проведены полевые работы в акваториях портов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Амдерма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Сабетта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Утренний, Диксон, Дудинка, Хатанга, Тикси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2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Сетка комплексных станций экологического мониторинга была разработана на основании анализа открытых литературных и фондовых данных исследований прошлых лет. При расстановке станций учитывались основные маршруты движения судов по СМП и расположение район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повышенной значимости (лежбища моржей, зоны их кормления, миграции и зимовки, зоны линьки, миграции, размножения и кормления птиц и др.). </w:t>
      </w:r>
    </w:p>
    <w:p w14:paraId="00000013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период работ на станциях проводились исследования атмосферного воздуха, отбирались пробы морских вод и донных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ложений,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микропластика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измерялась температура и соленость водной толщи, фиксировался крупный мусор. Изучение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арктических морей включало отбор проб для анализа количественных и качественных показателей планктонных и бентосных сообществ, а также для и</w:t>
      </w:r>
      <w:r>
        <w:rPr>
          <w:rFonts w:ascii="Times New Roman" w:eastAsia="Times New Roman" w:hAnsi="Times New Roman" w:cs="Times New Roman"/>
          <w:sz w:val="24"/>
          <w:szCs w:val="24"/>
        </w:rPr>
        <w:t>сследования наличия биологических инвазий, что важно для формирования комплексного представления о состоянии морских экосистем Арктики. Велись наблюдения за морскими млекопитающими и птицами.</w:t>
      </w:r>
    </w:p>
    <w:p w14:paraId="00000014" w14:textId="77777777" w:rsidR="003B73AC" w:rsidRDefault="001405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Лабораторные исследования и камеральная обработка полученных дан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ных</w:t>
      </w:r>
    </w:p>
    <w:p w14:paraId="00000015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период с октября по декабрь в 2021, 2022 и 2023 г. в специализированных лабораториях Москвы и Санкт-Петербурга выполнялась обработка проб и проводился дальнейший камеральный анализ полученных в ходе полевых работ материалов. </w:t>
      </w:r>
    </w:p>
    <w:p w14:paraId="00000016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Специалисты проанализировали 100 проб атмосферного воздуха, 400 проб морских вод на более чем 35 параметров и около 130 проб донных отложений на более чем 30 параметров. Гидробиологи обработали более 1200 проб планктона, включая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бактериопланктон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фитопланк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тон, зоопланктон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ихтиопланктон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около 600 проб бентоса, включая макробентос,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мейобентос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микрофитобентос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7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Исследования показали, что в летне-осенние периоды оцениваемые параметры по большинству показателей имели значения, характерные для сезонов </w:t>
      </w:r>
      <w:r>
        <w:rPr>
          <w:rFonts w:ascii="Times New Roman" w:eastAsia="Times New Roman" w:hAnsi="Times New Roman" w:cs="Times New Roman"/>
          <w:sz w:val="24"/>
          <w:szCs w:val="24"/>
        </w:rPr>
        <w:t>и регионов наблюдения.</w:t>
      </w:r>
    </w:p>
    <w:p w14:paraId="00000018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Превышений предельно допустимых концентраций в атмосферном воздухе, морских водах, донных отложениях, которые могли бы свидетельствовать о пагубном воздействии хозяйственной деятельности на данном этапе освоения СМП и интенсивности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удоходства, не зафиксировано.</w:t>
      </w:r>
    </w:p>
    <w:p w14:paraId="00000019" w14:textId="77777777" w:rsidR="003B73AC" w:rsidRDefault="001405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Цифровой сервис </w:t>
      </w:r>
    </w:p>
    <w:p w14:paraId="0000001A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2021–2023 гг. был реализован проект цифрового сервиса спутникового экологического мониторинга судовой нагрузки и загрязнений акватории СМП. Были получены первые результаты работы цифровых сервисов. </w:t>
      </w:r>
    </w:p>
    <w:p w14:paraId="0000001B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лотности движения судов в период мониторинга проводился на основе данных автоматической идентификационной системы (АИС). </w:t>
      </w:r>
    </w:p>
    <w:p w14:paraId="0000001C" w14:textId="77777777" w:rsidR="003B73AC" w:rsidRDefault="001405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Международное взаимодействие </w:t>
      </w:r>
    </w:p>
    <w:p w14:paraId="0000001D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Ключевым условием устойчивого развития судоходства по СМП является его соответствие международным эколог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ическим стандартам и лучшим природоохранным практикам. </w:t>
      </w:r>
    </w:p>
    <w:p w14:paraId="0000001E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ЦМИ МГУ создал международную группу экспертов экологического мониторинга СМП (далее — МГЭ), которая стала международным форумом для обсуждения концепции и реализации проекта.</w:t>
      </w:r>
    </w:p>
    <w:p w14:paraId="0000001F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работы МГЭ — оценка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комплексной программы экологического мониторинга СМП и разработка рекомендаций по ее улучшению.</w:t>
      </w:r>
    </w:p>
    <w:p w14:paraId="00000020" w14:textId="77777777" w:rsidR="003B73AC" w:rsidRDefault="00140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Участники МГЭ — эксперты по птицам,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и фитопланктону, морским млекопитающим, рыбам и т. д., представляющие более 18 ведущих российских и зарубежных организ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аций в сфере охраны окружающей среды и сохранения биологического разнообразия. Среди них такие организации, как Институт океанологии им. П.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Ширшова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РАН, Институт проблем экологии и эволюции им. А.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Северцова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РАН, Арктический и антарктический научно-ис</w:t>
      </w:r>
      <w:r>
        <w:rPr>
          <w:rFonts w:ascii="Times New Roman" w:eastAsia="Times New Roman" w:hAnsi="Times New Roman" w:cs="Times New Roman"/>
          <w:sz w:val="24"/>
          <w:szCs w:val="24"/>
        </w:rPr>
        <w:t>следовательский институт, Мурманский морской биологический институт Кольского научного центра РАН и пр. На протяжении трех лет в проекте приняли участие представители ведущих научных учреждений Норвегии, Финляндии, Франции, Исландии, Великобритании, Китая,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Индии, Египта, Малайзии, Турции.</w:t>
      </w:r>
    </w:p>
    <w:p w14:paraId="00000021" w14:textId="77777777" w:rsidR="003B73AC" w:rsidRDefault="001405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</w:t>
      </w:r>
    </w:p>
    <w:p w14:paraId="00000022" w14:textId="77777777" w:rsidR="003B73AC" w:rsidRDefault="001405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работ сформирована комплексная программа мониторинга состояния окружающей среды и биоразнообразия на акватории СМП.</w:t>
      </w:r>
    </w:p>
    <w:p w14:paraId="00000023" w14:textId="77777777" w:rsidR="003B73AC" w:rsidRDefault="001405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включает:</w:t>
      </w:r>
    </w:p>
    <w:p w14:paraId="00000024" w14:textId="77777777" w:rsidR="003B73AC" w:rsidRDefault="001405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систему мероприятий по мониторингу и контролю состояния окружающей среды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акватории СМП с учетом российских государственных, коммерческих, научных и некоммерческих организаций и зарубежного экспертного сообщества;</w:t>
      </w:r>
    </w:p>
    <w:p w14:paraId="00000025" w14:textId="77777777" w:rsidR="003B73AC" w:rsidRDefault="001405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подпрограммы экологического мониторинга с определением набора обязательных объектов, параметров, методов, периодичности наблюдений и полигонов работ. Подпрограммы разработаны для абиотических (атмосферный воздух, морские воды, морские льды, донные отложени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 и биологических объектов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-, фито-, зоопланктон,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макрозоо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микрофитобентос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ихтиофауна, орнитофауна, морские млекопитающие);</w:t>
      </w:r>
    </w:p>
    <w:p w14:paraId="00000026" w14:textId="77777777" w:rsidR="003B73AC" w:rsidRDefault="001405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полигоны мониторинга и наблюдения за птицами и морскими млекопитающими.</w:t>
      </w:r>
    </w:p>
    <w:p w14:paraId="00000027" w14:textId="77777777" w:rsidR="003B73AC" w:rsidRDefault="001405FE">
      <w:pPr>
        <w:shd w:val="clear" w:color="auto" w:fill="FFFFFF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не останавливается и будет реализовывать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и в 2024 году. В сентябре 2023 г. в рамках Восточного экономического форума (ВЭФ) был подписан документ о продолжении сотрудничества между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Госкорпорацией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и ЦМИ МГУ.</w:t>
      </w:r>
    </w:p>
    <w:p w14:paraId="00000028" w14:textId="77777777" w:rsidR="003B73AC" w:rsidRDefault="001405FE">
      <w:pPr>
        <w:shd w:val="clear" w:color="auto" w:fill="FFFFFF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2024 году система государственного экологического мониторинга акватории СМП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информационная основа обеспечения экологической безопасности судоходства будет включена в единую систему государственного экологического мониторинга (государственного мониторинга окружающей среды) в качестве отдельной подсистемы. </w:t>
      </w:r>
    </w:p>
    <w:p w14:paraId="00000029" w14:textId="77777777" w:rsidR="003B73AC" w:rsidRDefault="001405FE">
      <w:pPr>
        <w:shd w:val="clear" w:color="auto" w:fill="FFFFFF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2024 году будут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ведены экологический мониторинг в портовых районах акватории СМП и спутниковый мониторинг с дальнейшим развитием функций цифровых сервисов. Продолжится работа над комплексной программой мониторинга на основе анализа потребностей в результатах мониторинга,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разработаны подходы и методы информационной поддержки охраны окружающей среды и обеспечения экологической безопасности в акватории СМП.</w:t>
      </w:r>
    </w:p>
    <w:bookmarkStart w:id="1" w:name="_heading=h.gjdgxs" w:colFirst="0" w:colLast="0"/>
    <w:bookmarkEnd w:id="1"/>
    <w:p w14:paraId="0000002A" w14:textId="77777777" w:rsidR="003B73AC" w:rsidRDefault="001405FE">
      <w:pPr>
        <w:shd w:val="clear" w:color="auto" w:fill="FFFFFF"/>
        <w:spacing w:before="240" w:after="0" w:line="240" w:lineRule="auto"/>
        <w:ind w:right="11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fldChar w:fldCharType="begin"/>
      </w:r>
      <w:r>
        <w:instrText xml:space="preserve"> HYPERLINK "https://atommedia.online/wp-content/uploads/2023/12/booklet_rus_-nsr_program_small.pdf"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По ссылк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доступна информационная брошюра «Комплексные исследования и мониторинг состояния окружающей среды и биоразнообразия в акватории Северного морского пути». </w:t>
      </w:r>
    </w:p>
    <w:p w14:paraId="0000002B" w14:textId="77777777" w:rsidR="003B73AC" w:rsidRDefault="003B73AC">
      <w:pPr>
        <w:shd w:val="clear" w:color="auto" w:fill="FFFFFF"/>
        <w:spacing w:before="240" w:after="0" w:line="240" w:lineRule="auto"/>
        <w:ind w:right="11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C" w14:textId="77777777" w:rsidR="003B73AC" w:rsidRDefault="003B73AC">
      <w:pPr>
        <w:shd w:val="clear" w:color="auto" w:fill="FFFFFF"/>
        <w:spacing w:before="240"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B73AC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455A"/>
    <w:multiLevelType w:val="multilevel"/>
    <w:tmpl w:val="C0F63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915152"/>
    <w:multiLevelType w:val="multilevel"/>
    <w:tmpl w:val="F98E72B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425EF"/>
    <w:multiLevelType w:val="multilevel"/>
    <w:tmpl w:val="14F2E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AC"/>
    <w:rsid w:val="001405FE"/>
    <w:rsid w:val="003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6CC18-BEFD-48C7-B3CE-E4777FE4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E94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link w:val="20"/>
    <w:uiPriority w:val="9"/>
    <w:qFormat/>
    <w:rsid w:val="00E94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E94A3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E94A3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1"/>
    <w:link w:val="1"/>
    <w:uiPriority w:val="9"/>
    <w:rsid w:val="00E94A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94A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94A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E94A3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94A30"/>
  </w:style>
  <w:style w:type="paragraph" w:styleId="a5">
    <w:name w:val="Normal (Web)"/>
    <w:basedOn w:val="a0"/>
    <w:uiPriority w:val="99"/>
    <w:unhideWhenUsed/>
    <w:rsid w:val="00E9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E94A30"/>
    <w:rPr>
      <w:color w:val="0000FF"/>
      <w:u w:val="single"/>
    </w:rPr>
  </w:style>
  <w:style w:type="paragraph" w:styleId="a7">
    <w:name w:val="List Paragraph"/>
    <w:basedOn w:val="a0"/>
    <w:link w:val="a8"/>
    <w:uiPriority w:val="34"/>
    <w:qFormat/>
    <w:rsid w:val="00E94A30"/>
    <w:pPr>
      <w:ind w:left="720"/>
      <w:contextualSpacing/>
    </w:pPr>
  </w:style>
  <w:style w:type="character" w:customStyle="1" w:styleId="a8">
    <w:name w:val="Абзац списка Знак"/>
    <w:basedOn w:val="a1"/>
    <w:link w:val="a7"/>
    <w:uiPriority w:val="34"/>
    <w:locked/>
    <w:rsid w:val="00E94A30"/>
  </w:style>
  <w:style w:type="paragraph" w:customStyle="1" w:styleId="null">
    <w:name w:val="null"/>
    <w:basedOn w:val="a0"/>
    <w:rsid w:val="00E94A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ull1">
    <w:name w:val="null1"/>
    <w:basedOn w:val="a1"/>
    <w:rsid w:val="00E94A30"/>
  </w:style>
  <w:style w:type="character" w:customStyle="1" w:styleId="110">
    <w:name w:val="Основной текст (11)_"/>
    <w:basedOn w:val="a1"/>
    <w:link w:val="111"/>
    <w:uiPriority w:val="99"/>
    <w:locked/>
    <w:rsid w:val="00E94A30"/>
    <w:rPr>
      <w:shd w:val="clear" w:color="auto" w:fill="FFFFFF"/>
    </w:rPr>
  </w:style>
  <w:style w:type="paragraph" w:customStyle="1" w:styleId="111">
    <w:name w:val="Основной текст (11)1"/>
    <w:basedOn w:val="a0"/>
    <w:link w:val="110"/>
    <w:uiPriority w:val="99"/>
    <w:rsid w:val="00E94A30"/>
    <w:pPr>
      <w:shd w:val="clear" w:color="auto" w:fill="FFFFFF"/>
      <w:spacing w:after="360" w:line="240" w:lineRule="atLeast"/>
    </w:pPr>
  </w:style>
  <w:style w:type="character" w:customStyle="1" w:styleId="112">
    <w:name w:val="Основной текст (11)"/>
    <w:basedOn w:val="a1"/>
    <w:uiPriority w:val="99"/>
    <w:rsid w:val="00E94A30"/>
  </w:style>
  <w:style w:type="paragraph" w:styleId="a9">
    <w:name w:val="No Spacing"/>
    <w:basedOn w:val="a0"/>
    <w:link w:val="aa"/>
    <w:uiPriority w:val="1"/>
    <w:qFormat/>
    <w:rsid w:val="00E94A30"/>
    <w:pPr>
      <w:spacing w:after="0" w:line="240" w:lineRule="auto"/>
    </w:pPr>
    <w:rPr>
      <w:sz w:val="24"/>
      <w:szCs w:val="24"/>
    </w:rPr>
  </w:style>
  <w:style w:type="character" w:customStyle="1" w:styleId="apple-tab-span">
    <w:name w:val="apple-tab-span"/>
    <w:basedOn w:val="a1"/>
    <w:rsid w:val="00E94A30"/>
  </w:style>
  <w:style w:type="paragraph" w:styleId="ab">
    <w:name w:val="Balloon Text"/>
    <w:basedOn w:val="a0"/>
    <w:link w:val="ac"/>
    <w:uiPriority w:val="99"/>
    <w:semiHidden/>
    <w:unhideWhenUsed/>
    <w:rsid w:val="00E94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94A30"/>
    <w:rPr>
      <w:rFonts w:ascii="Segoe UI" w:hAnsi="Segoe UI" w:cs="Segoe UI"/>
      <w:sz w:val="18"/>
      <w:szCs w:val="18"/>
    </w:rPr>
  </w:style>
  <w:style w:type="character" w:styleId="ad">
    <w:name w:val="annotation reference"/>
    <w:basedOn w:val="a1"/>
    <w:uiPriority w:val="99"/>
    <w:semiHidden/>
    <w:unhideWhenUsed/>
    <w:rsid w:val="00E94A30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E94A30"/>
    <w:pPr>
      <w:spacing w:after="0"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E94A3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4A3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94A30"/>
    <w:rPr>
      <w:b/>
      <w:bCs/>
      <w:sz w:val="20"/>
      <w:szCs w:val="20"/>
    </w:rPr>
  </w:style>
  <w:style w:type="character" w:styleId="af2">
    <w:name w:val="Emphasis"/>
    <w:basedOn w:val="a1"/>
    <w:uiPriority w:val="20"/>
    <w:qFormat/>
    <w:rsid w:val="00E94A30"/>
    <w:rPr>
      <w:i/>
      <w:iCs/>
    </w:rPr>
  </w:style>
  <w:style w:type="paragraph" w:customStyle="1" w:styleId="p1">
    <w:name w:val="p1"/>
    <w:basedOn w:val="a0"/>
    <w:rsid w:val="00E94A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E94A30"/>
  </w:style>
  <w:style w:type="character" w:customStyle="1" w:styleId="s2">
    <w:name w:val="s2"/>
    <w:basedOn w:val="a1"/>
    <w:rsid w:val="00E94A30"/>
  </w:style>
  <w:style w:type="paragraph" w:styleId="af3">
    <w:name w:val="Revision"/>
    <w:hidden/>
    <w:uiPriority w:val="99"/>
    <w:semiHidden/>
    <w:rsid w:val="00E94A30"/>
    <w:pPr>
      <w:spacing w:after="0" w:line="240" w:lineRule="auto"/>
    </w:pPr>
    <w:rPr>
      <w:sz w:val="24"/>
      <w:szCs w:val="24"/>
    </w:rPr>
  </w:style>
  <w:style w:type="paragraph" w:styleId="21">
    <w:name w:val="Body Text 2"/>
    <w:basedOn w:val="a0"/>
    <w:link w:val="22"/>
    <w:rsid w:val="00E94A30"/>
    <w:pPr>
      <w:tabs>
        <w:tab w:val="num" w:pos="-198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1"/>
    <w:link w:val="21"/>
    <w:rsid w:val="00E94A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"/>
    <w:basedOn w:val="a0"/>
    <w:link w:val="af5"/>
    <w:unhideWhenUsed/>
    <w:rsid w:val="00E94A30"/>
    <w:pPr>
      <w:spacing w:after="120" w:line="240" w:lineRule="auto"/>
    </w:pPr>
    <w:rPr>
      <w:sz w:val="24"/>
      <w:szCs w:val="24"/>
    </w:rPr>
  </w:style>
  <w:style w:type="character" w:customStyle="1" w:styleId="af5">
    <w:name w:val="Основной текст Знак"/>
    <w:basedOn w:val="a1"/>
    <w:link w:val="af4"/>
    <w:rsid w:val="00E94A30"/>
    <w:rPr>
      <w:sz w:val="24"/>
      <w:szCs w:val="24"/>
    </w:rPr>
  </w:style>
  <w:style w:type="character" w:customStyle="1" w:styleId="muxgbd">
    <w:name w:val="muxgbd"/>
    <w:basedOn w:val="a1"/>
    <w:rsid w:val="00E94A30"/>
  </w:style>
  <w:style w:type="paragraph" w:customStyle="1" w:styleId="af6">
    <w:name w:val="Текст документа"/>
    <w:basedOn w:val="a0"/>
    <w:link w:val="af7"/>
    <w:qFormat/>
    <w:rsid w:val="00E94A3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f7">
    <w:name w:val="Текст документа Знак"/>
    <w:basedOn w:val="a1"/>
    <w:link w:val="af6"/>
    <w:rsid w:val="00E94A30"/>
    <w:rPr>
      <w:rFonts w:ascii="Times New Roman" w:hAnsi="Times New Roman"/>
      <w:sz w:val="28"/>
      <w:szCs w:val="24"/>
    </w:rPr>
  </w:style>
  <w:style w:type="paragraph" w:styleId="af8">
    <w:name w:val="footnote text"/>
    <w:basedOn w:val="a0"/>
    <w:link w:val="af9"/>
    <w:uiPriority w:val="99"/>
    <w:semiHidden/>
    <w:unhideWhenUsed/>
    <w:rsid w:val="00E94A30"/>
    <w:pPr>
      <w:spacing w:after="0" w:line="240" w:lineRule="auto"/>
    </w:pPr>
    <w:rPr>
      <w:sz w:val="20"/>
      <w:szCs w:val="20"/>
      <w:lang w:val="en-US"/>
    </w:rPr>
  </w:style>
  <w:style w:type="character" w:customStyle="1" w:styleId="af9">
    <w:name w:val="Текст сноски Знак"/>
    <w:basedOn w:val="a1"/>
    <w:link w:val="af8"/>
    <w:uiPriority w:val="99"/>
    <w:semiHidden/>
    <w:rsid w:val="00E94A30"/>
    <w:rPr>
      <w:sz w:val="20"/>
      <w:szCs w:val="20"/>
      <w:lang w:val="en-US"/>
    </w:rPr>
  </w:style>
  <w:style w:type="character" w:styleId="afa">
    <w:name w:val="footnote reference"/>
    <w:basedOn w:val="a1"/>
    <w:uiPriority w:val="99"/>
    <w:semiHidden/>
    <w:unhideWhenUsed/>
    <w:rsid w:val="00E94A30"/>
    <w:rPr>
      <w:vertAlign w:val="superscript"/>
    </w:rPr>
  </w:style>
  <w:style w:type="table" w:styleId="afb">
    <w:name w:val="Table Grid"/>
    <w:basedOn w:val="a2"/>
    <w:uiPriority w:val="39"/>
    <w:rsid w:val="00E94A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аголовок1"/>
    <w:basedOn w:val="a0"/>
    <w:next w:val="af4"/>
    <w:qFormat/>
    <w:rsid w:val="00E94A30"/>
    <w:pPr>
      <w:keepNext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afc">
    <w:name w:val="Subtitle"/>
    <w:basedOn w:val="a0"/>
    <w:next w:val="a0"/>
    <w:link w:val="afd"/>
    <w:pPr>
      <w:spacing w:line="240" w:lineRule="auto"/>
    </w:pPr>
    <w:rPr>
      <w:color w:val="5A5A5A"/>
    </w:rPr>
  </w:style>
  <w:style w:type="character" w:customStyle="1" w:styleId="afd">
    <w:name w:val="Подзаголовок Знак"/>
    <w:basedOn w:val="a1"/>
    <w:link w:val="afc"/>
    <w:uiPriority w:val="11"/>
    <w:rsid w:val="00E94A30"/>
    <w:rPr>
      <w:rFonts w:eastAsiaTheme="minorEastAsia"/>
      <w:color w:val="5A5A5A" w:themeColor="text1" w:themeTint="A5"/>
      <w:spacing w:val="15"/>
      <w:lang w:eastAsia="ru-RU"/>
    </w:rPr>
  </w:style>
  <w:style w:type="paragraph" w:styleId="afe">
    <w:name w:val="TOC Heading"/>
    <w:basedOn w:val="1"/>
    <w:next w:val="a0"/>
    <w:uiPriority w:val="39"/>
    <w:unhideWhenUsed/>
    <w:qFormat/>
    <w:rsid w:val="00E94A3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3">
    <w:name w:val="toc 2"/>
    <w:basedOn w:val="a0"/>
    <w:next w:val="a0"/>
    <w:autoRedefine/>
    <w:uiPriority w:val="39"/>
    <w:unhideWhenUsed/>
    <w:rsid w:val="00E94A30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0"/>
    <w:next w:val="a0"/>
    <w:autoRedefine/>
    <w:uiPriority w:val="39"/>
    <w:unhideWhenUsed/>
    <w:rsid w:val="00E94A30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E94A30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header"/>
    <w:basedOn w:val="a0"/>
    <w:link w:val="aff0"/>
    <w:uiPriority w:val="99"/>
    <w:unhideWhenUsed/>
    <w:rsid w:val="00E94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Верхний колонтитул Знак"/>
    <w:basedOn w:val="a1"/>
    <w:link w:val="aff"/>
    <w:uiPriority w:val="99"/>
    <w:rsid w:val="00E94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er"/>
    <w:basedOn w:val="a0"/>
    <w:link w:val="aff2"/>
    <w:uiPriority w:val="99"/>
    <w:unhideWhenUsed/>
    <w:rsid w:val="00E94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basedOn w:val="a1"/>
    <w:link w:val="aff1"/>
    <w:uiPriority w:val="99"/>
    <w:rsid w:val="00E94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4A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Без интервала Знак"/>
    <w:link w:val="a9"/>
    <w:uiPriority w:val="1"/>
    <w:rsid w:val="00E94A30"/>
    <w:rPr>
      <w:rFonts w:ascii="Calibri" w:hAnsi="Calibri" w:cs="Calibri"/>
      <w:sz w:val="24"/>
      <w:szCs w:val="24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E94A30"/>
    <w:rPr>
      <w:color w:val="605E5C"/>
      <w:shd w:val="clear" w:color="auto" w:fill="E1DFDD"/>
    </w:rPr>
  </w:style>
  <w:style w:type="paragraph" w:customStyle="1" w:styleId="a">
    <w:name w:val="Обычный: ненумерованный список"/>
    <w:basedOn w:val="a0"/>
    <w:uiPriority w:val="1"/>
    <w:qFormat/>
    <w:rsid w:val="003E08D3"/>
    <w:pPr>
      <w:numPr>
        <w:numId w:val="3"/>
      </w:numPr>
      <w:spacing w:after="120" w:line="276" w:lineRule="auto"/>
      <w:ind w:left="851"/>
      <w:contextualSpacing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4KvUQfI1XN/vpuQK2wlSvat80A==">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Бессонова Юлия Михайловна</dc:creator>
  <cp:lastModifiedBy>КСП</cp:lastModifiedBy>
  <cp:revision>2</cp:revision>
  <dcterms:created xsi:type="dcterms:W3CDTF">2023-12-01T11:15:00Z</dcterms:created>
  <dcterms:modified xsi:type="dcterms:W3CDTF">2023-12-01T11:15:00Z</dcterms:modified>
</cp:coreProperties>
</file>