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вошел в число лучших работодателей России по версии журнала Forbes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Госкорпорация получила наивысшую оценку по двум из трех ESG-показателей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 вошла в «платиновую» категорию рейтинга лучших работодателей России по версии делового издания Forbes. Она стала лучшей из энергетических компаний страны, получив наивысшую оценку по двум из трех ESG-показателей — «Экология» и «Корпоративное управление».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уже много лет демонстрирует высокие стандарты корпоративного управления, системно работает по экологическому направлению, занимается развитием сотрудников и территорий присутствия.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Своим сотрудникам Госкорпорация предоставляет широкие возможности для обучения и карьерного роста, расширенный социальный пакет и адресные меры поддержки, гибкие форматы работы. В основе кадровой политики Госкорпорации «Росатом» лежит философия человекоцентричной организации. Росатом и его предприятия отличает максимальная социальная поддержка сотрудников. Это и менторинг-программы, и быстрое распространение сигнала за счет прямых каналов коммуникации с руководителями, и психологическая поддержка, и массовое обучение сотрудников (с помощью собственного корпоративного университета — Корпоративной Академии Росатома). Компании атомной отрасли отличают эффективные онлайн- и офлайн-коммуникации. Большое внимание уделяется здоровью работников. Речь не только о регулярных диспансеризациях, при необходимости — углубленных медицинских осмотрах и реабилитационно-восстановительном лечении, но и о практиках проведения дней здоровья и школах здоровья по социально значимым темам (сахарный диабет, здоровое питание, стресс) и др.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 ведет активную работу по созданию максимально комфортной инфраструктуры в 28 российских городах своего присутствия. Для активизации этой работы в 2023 году стартовала программа «Люди и города». Она направлена на повышение качества жизни в городах присутствия и достижение лидерства в технологическом развитии в масштабах всей страны. Системный подход предполагает работу по нескольким направлениям: создание современной, технологичной и удобной инфраструктуры и образовательной среды, раскрывающей потенциал каждого жителя; вовлечение жителей городов в социально-общественную жизнь; формирование условий по развитию медицины в городах Росатома. Стратегия развития каждого города реализуется с участием всех заинтересованных сторон — Госкорпорации, местных властей, бизнеса и жителей.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Программа уже приносит результаты. По итогам 2022 года в ее рамках было привлечено 23,8 млрд рублей на развитие регионов. Удовлетворенность качеством медицинской помощи в них выросла с 31 до 68%.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Ознакомиться с полными результатами рейтинга можно на </w:t>
      </w:r>
      <w:hyperlink r:id="rId2">
        <w:r>
          <w:rPr>
            <w:color w:val="1155CC"/>
            <w:sz w:val="24"/>
            <w:szCs w:val="24"/>
            <w:u w:val="single"/>
          </w:rPr>
          <w:t xml:space="preserve">сайте </w:t>
        </w:r>
      </w:hyperlink>
      <w:hyperlink r:id="rId3">
        <w:r>
          <w:rPr>
            <w:color w:val="1155CC"/>
            <w:sz w:val="24"/>
            <w:szCs w:val="24"/>
            <w:u w:val="single"/>
          </w:rPr>
          <w:t>журнала Forbes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«платиновую» категорию вошли компании, получившие максимальные баллы по основным метрикам, соответствующим ESG-повестке: это «Экология» (E), «Сотрудники и общество» (S) и «Корпоративное управление» (G). Методология рейтинга была разработана совместно с компанией Kept. Как и в 2022 году, компании распределялись не по местам, а по четырем группам: «платина», «золото», «серебро» и «бронза». Работодатели категории «платина» получили наивысшие оценки. Организаторы проведения рейтинга уделили особое внимание социальным параметрам: оценивали наличие политик well-being, выходящих за рамки привычного социального пакета, учитывали, кто смог в условиях турбулентности не сократить штат, а, напротив, улучшить условия для развития персонала.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Инновационные технологии Росатома основаны на передовых достижениях российской атомной науки и в полной мере отвечают актуальной ESG-повестке. Достигнутые результаты — это труд тысяч высококвалифицированных профессионалов, которые работают в интересах экономической стабильности России.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orbes.ru/biznes/499800-27-liderov-rejtinga-lucsih-rabotodatelej-forbes-2023" TargetMode="External"/><Relationship Id="rId3" Type="http://schemas.openxmlformats.org/officeDocument/2006/relationships/hyperlink" Target="https://www.forbes.ru/biznes/499800-27-liderov-rejtinga-lucsih-rabotodatelej-forbes-2023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468</Words>
  <Characters>3498</Characters>
  <CharactersWithSpaces>3972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