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Росатом утвердил технический проект реакторной установки для наземной АЭС малой мощности</w:t>
      </w:r>
    </w:p>
    <w:p>
      <w:pPr>
        <w:pStyle w:val="Normal1"/>
        <w:spacing w:lineRule="auto" w:line="360" w:before="12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Первую в мире наземную атомную станцию малой мощности с реактором РИТМ-200Н планируют ввести в строй в Якутии в 2028 году</w:t>
      </w:r>
    </w:p>
    <w:p>
      <w:pPr>
        <w:pStyle w:val="Normal1"/>
        <w:shd w:val="clear" w:fill="FFFFFF"/>
        <w:spacing w:lineRule="auto" w:line="360"/>
        <w:ind w:firstLine="70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Машиностроительный дивизион Росатома защитил технические проекты реакторной установки РИТМ-200Н, активной зоны АС-14-15 и ее составных частей на совместном заседании бюро научно-технического совета Госкорпорации «Росатом». Эксперты отметили, что проекты выполнены на высоком научно-техническом уровне и отвечают требованиям техзаданий. Как сообщалось, на базе новейшей реакторной установки РИТМ-200Н построят первую в России наземную атомную станцию малой мощности в якутском поселке Усть-Куйга. Ввод станции в эксплуатацию планируется в 2028 году.</w:t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Установка разработана на базе современной отечественной судовой реакторной установки РИТМ-200 для универсальных атомных ледоколов</w:t>
      </w:r>
      <w:r>
        <w:rPr>
          <w:color w:val="1F497D"/>
          <w:sz w:val="26"/>
          <w:szCs w:val="26"/>
        </w:rPr>
        <w:t>, при</w:t>
      </w:r>
      <w:r>
        <w:rPr>
          <w:color w:val="222222"/>
          <w:sz w:val="26"/>
          <w:szCs w:val="26"/>
        </w:rPr>
        <w:t xml:space="preserve"> этом адаптирована к наземному размещению энергообъекта. Тепловая мощность РИТМ-200Н составляет 190 МВт, электрическая — 55 МВт. Срок службы установки — до 60 лет, перезагрузка топлива будет осуществляться каждые 6 лет.</w:t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В настоящее время идет разработка рабочей конструкторской, эксплуатационной и приемо-сдаточной документации оборудования и систем реакторной установки РИТМ-200Н.</w:t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</w:t>
      </w:r>
    </w:p>
    <w:p>
      <w:pPr>
        <w:pStyle w:val="Normal1"/>
        <w:shd w:val="clear" w:fill="FFFFFF"/>
        <w:spacing w:lineRule="auto" w:line="360"/>
        <w:ind w:firstLine="700"/>
        <w:rPr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Для справки:</w:t>
      </w:r>
    </w:p>
    <w:p>
      <w:pPr>
        <w:pStyle w:val="Normal1"/>
        <w:shd w:val="clear" w:fill="FFFFFF"/>
        <w:spacing w:lineRule="auto" w:line="360" w:before="240" w:after="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Реакторы РИТМ-200 уже несколько лет эксплуатируются на новейших атомных ледоколах проекта 22220 «Арктика», «Сибирь» и «Урал» и доказали свою эффективность и абсолютную безопасность на всех этапах жизненного цикла. На сегодняшний день предприятиями машиностроительного дивизиона изготовлены и отгружены девять реакторов этого типа.</w:t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Реализация проекта по строительству в Якутии наземной атомной станции малой мощности обеспечит энергонезависимость и социально-экономическое развитие региона. Объект станет сердцем одного из крупнейших в России минерально-сырьевых центров и в перспективе обеспечит электроэнергией промышленные предприятия, среди которых месторождения Кючус, Депутатское, Тирехтях, кроме того, сыграет важную роль в развитии территории для комфортной жизни.</w:t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Президент и Правительство РФ расширяют комплекс мер поддержки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цифровизации и замещения импортного оборудования. Росатом и его предприятия принимают активное участие в этой работе.</w:t>
      </w:r>
    </w:p>
    <w:p>
      <w:pPr>
        <w:pStyle w:val="Normal1"/>
        <w:shd w:val="clear" w:fill="FFFFFF"/>
        <w:spacing w:lineRule="auto" w:line="360"/>
        <w:ind w:firstLine="70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«ОКБМ Африкантов» — главный конструктор РИТМ-200Н. Предприятие является крупным научно-производственным центром атомного машиностроения, располагающим многопрофильным конструкторским коллективом, собственной исследовательской, экспериментальной и производственной базой. Научно-производственный потенциал предприятия позволяет выполнять весь комплекс работ по созданию различных типов реакторных установок и оборудования для них. Входит в машиностроительный дивизион Госкорпорации «Росатом» — Атомэнергомаш.</w:t>
      </w:r>
    </w:p>
    <w:p>
      <w:pPr>
        <w:pStyle w:val="Normal1"/>
        <w:spacing w:lineRule="auto" w:line="360" w:before="12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347</Words>
  <Characters>2641</Characters>
  <CharactersWithSpaces>2984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