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sz w:val="24"/>
          <w:szCs w:val="24"/>
        </w:rPr>
      </w:pPr>
      <w:r>
        <w:rPr>
          <w:b/>
          <w:sz w:val="24"/>
          <w:szCs w:val="24"/>
        </w:rPr>
        <w:t>Росатом проведет общероссийский форум по математическому моделированию</w:t>
      </w:r>
    </w:p>
    <w:p>
      <w:pPr>
        <w:pStyle w:val="Normal1"/>
        <w:rPr>
          <w:i/>
          <w:i/>
          <w:sz w:val="24"/>
          <w:szCs w:val="24"/>
        </w:rPr>
      </w:pPr>
      <w:r>
        <w:rPr>
          <w:i/>
          <w:sz w:val="24"/>
          <w:szCs w:val="24"/>
        </w:rPr>
        <w:t>Разработчики и промышленные заказчики сформируют план действий по скорейшему достижению суверенитета в индустриальном ПО данного класса</w:t>
      </w:r>
    </w:p>
    <w:p>
      <w:pPr>
        <w:pStyle w:val="Normal1"/>
        <w:rPr>
          <w:sz w:val="24"/>
          <w:szCs w:val="24"/>
        </w:rPr>
      </w:pPr>
      <w:r>
        <w:rPr>
          <w:sz w:val="24"/>
          <w:szCs w:val="24"/>
        </w:rPr>
        <w:t xml:space="preserve"> </w:t>
      </w:r>
    </w:p>
    <w:p>
      <w:pPr>
        <w:pStyle w:val="Normal1"/>
        <w:rPr>
          <w:sz w:val="24"/>
          <w:szCs w:val="24"/>
        </w:rPr>
      </w:pPr>
      <w:r>
        <w:rPr>
          <w:sz w:val="24"/>
          <w:szCs w:val="24"/>
        </w:rPr>
        <w:t>1 декабря в Москве, в недавно открывшемся павильоне «Атом» на ВДНХ Госкорпорация «Росатом» совместно с Консорциумом разработчиков и потребителей CAD/CAE-систем проведет Конференцию по математическому моделированию. Мероприятие обещает стать главной российской площадкой обсуждения развития индустриального ПО САЕ-класса.</w:t>
      </w:r>
    </w:p>
    <w:p>
      <w:pPr>
        <w:pStyle w:val="Normal1"/>
        <w:rPr>
          <w:sz w:val="24"/>
          <w:szCs w:val="24"/>
        </w:rPr>
      </w:pPr>
      <w:r>
        <w:rPr>
          <w:sz w:val="24"/>
          <w:szCs w:val="24"/>
        </w:rPr>
      </w:r>
    </w:p>
    <w:p>
      <w:pPr>
        <w:pStyle w:val="Normal1"/>
        <w:rPr>
          <w:sz w:val="24"/>
          <w:szCs w:val="24"/>
        </w:rPr>
      </w:pPr>
      <w:r>
        <w:rPr>
          <w:sz w:val="24"/>
          <w:szCs w:val="24"/>
        </w:rPr>
        <w:t>Участие в САЕ-форуме примут генеральный директор Росатома Алексей Лихачев, директор по цифровизации Росатома Екатерина Солнцева, директор Центра компетенций по импортозамещению в сфере ИКТ Илья Массух, проректор по цифровой трансформации СПбПУ Алексей Боровков, представители федеральных органов исполнительной власти, а также ведущих вузов, в числе которых НИЯУ «МИФИ» и МГТУ им. Н. Э. Баумана. Реальный сектор экономики представят эксперты предприятий атомной и ракетно-космической отраслей, авиастроения, машиностроения, других высокотехнологичных индустрий. Модератором выступит Александр Фертман, директор по науке и образованию Фонда «Сколково».</w:t>
      </w:r>
    </w:p>
    <w:p>
      <w:pPr>
        <w:pStyle w:val="Normal1"/>
        <w:rPr>
          <w:sz w:val="24"/>
          <w:szCs w:val="24"/>
        </w:rPr>
      </w:pPr>
      <w:r>
        <w:rPr>
          <w:sz w:val="24"/>
          <w:szCs w:val="24"/>
        </w:rPr>
      </w:r>
    </w:p>
    <w:p>
      <w:pPr>
        <w:pStyle w:val="Normal1"/>
        <w:rPr>
          <w:sz w:val="24"/>
          <w:szCs w:val="24"/>
        </w:rPr>
      </w:pPr>
      <w:r>
        <w:rPr>
          <w:sz w:val="24"/>
          <w:szCs w:val="24"/>
        </w:rPr>
        <w:t>Главным вопросом повестки дня мероприятия станет обсуждение возможностей по кооперации экспертизы пользователей и разработчиков продуктов данного класса, а также взаимодействию ведущих предприятий, ИТ-компаний и специалистов в области математического моделирования в рамках развития платформы. Планируется также демонстрация уровня развития российского ПО класса САЕ и опыта его применения в промышленности.</w:t>
      </w:r>
    </w:p>
    <w:p>
      <w:pPr>
        <w:pStyle w:val="Normal1"/>
        <w:rPr>
          <w:sz w:val="24"/>
          <w:szCs w:val="24"/>
        </w:rPr>
      </w:pPr>
      <w:r>
        <w:rPr>
          <w:sz w:val="24"/>
          <w:szCs w:val="24"/>
        </w:rPr>
      </w:r>
    </w:p>
    <w:p>
      <w:pPr>
        <w:pStyle w:val="Normal1"/>
        <w:rPr>
          <w:sz w:val="24"/>
          <w:szCs w:val="24"/>
        </w:rPr>
      </w:pPr>
      <w:r>
        <w:rPr>
          <w:sz w:val="24"/>
          <w:szCs w:val="24"/>
        </w:rPr>
        <w:t>На пленарной сессии «Настоящее и будущее российского CAE для промышленности, науки и образования» руководители федеральных органов исполнительной власти, промышленных и ИТ-компаний, а также университетов ответят на вопросы о том, какой функционал CAE-систем наиболее востребован в ключевых отраслях; способны ли российские разработчики сегодня закрыть своими продуктами потребности критических отраслей в системах математического моделирования; как объединение усилий разработчиков и выход на совместимость различных решений повлияет на функциональность российского САЕ. В ходе мероприятия пройдет презентация нового модуля линейки цифровых продуктов «Росатома» «Логос» — «Логос ЭМИ» («Логос Электромагнитное излучение»), предназначенного для решения задач инженерного моделирования электромагнитных процессов в высокотехнологичных отраслях промышленности.</w:t>
      </w:r>
    </w:p>
    <w:p>
      <w:pPr>
        <w:pStyle w:val="Normal1"/>
        <w:rPr>
          <w:sz w:val="24"/>
          <w:szCs w:val="24"/>
        </w:rPr>
      </w:pPr>
      <w:r>
        <w:rPr>
          <w:sz w:val="24"/>
          <w:szCs w:val="24"/>
        </w:rPr>
        <w:t>Также будут рассмотрены механизмы популяризации отечественных систем математического моделирования среди молодых специалистов и формирование кадрового резерва, нацеленного на разработку перспективных решений, опережающих текущую мировую практику.</w:t>
      </w:r>
    </w:p>
    <w:p>
      <w:pPr>
        <w:pStyle w:val="Normal1"/>
        <w:rPr>
          <w:sz w:val="24"/>
          <w:szCs w:val="24"/>
        </w:rPr>
      </w:pPr>
      <w:r>
        <w:rPr>
          <w:sz w:val="24"/>
          <w:szCs w:val="24"/>
        </w:rPr>
      </w:r>
    </w:p>
    <w:p>
      <w:pPr>
        <w:pStyle w:val="Normal1"/>
        <w:rPr>
          <w:sz w:val="24"/>
          <w:szCs w:val="24"/>
        </w:rPr>
      </w:pPr>
      <w:r>
        <w:rPr>
          <w:sz w:val="24"/>
          <w:szCs w:val="24"/>
        </w:rPr>
        <w:t>На полях конференции состоится награждение финалистов II Всероссийской олимпиады по математическому моделированию среди студентов ВОММ-2023 и лекторий о перспективных технологиях математического моделирования. Олимпиада впервые стартовала по инициативе Росатома в предыдущем году и стала основным элементом формируемого в стране кадрового лифта для молодых исследователей и разработчиков САЕ-сферы. В 2023 году на участие в олимпиаде поступило 450 заявок из 66 вузов 30 городов РФ. По результатам всех отборочных этапов определены 27 финалистов, представляющих НИЯУ «МИФИ», МГТУ им. Н. Э. Баумана, МГУ им. М. В. Ломоносова, МФТИ, ННГУ им. Н. И. Лобачевского, Самарского НИУ им. акад. С. П. Королева, Санкт-Петербургского политехнического университета Петра Великого, Санкт-Петербургского горного университета. Финальные соревнования пройдут 29 ноября в преддверии конференции по математическому моделированию.</w:t>
      </w:r>
    </w:p>
    <w:p>
      <w:pPr>
        <w:pStyle w:val="Normal1"/>
        <w:rPr>
          <w:sz w:val="24"/>
          <w:szCs w:val="24"/>
        </w:rPr>
      </w:pPr>
      <w:r>
        <w:rPr>
          <w:sz w:val="24"/>
          <w:szCs w:val="24"/>
        </w:rPr>
      </w:r>
    </w:p>
    <w:p>
      <w:pPr>
        <w:pStyle w:val="Normal1"/>
        <w:rPr>
          <w:sz w:val="24"/>
          <w:szCs w:val="24"/>
        </w:rPr>
      </w:pPr>
      <w:r>
        <w:rPr>
          <w:sz w:val="24"/>
          <w:szCs w:val="24"/>
        </w:rPr>
        <w:t>Ранее директор по цифровизации Росатома Екатерина Солнцева отмечала, что Госкорпорация, будучи ответственной за реализацию правительственной дорожной карты развития нового индустриального ПО, предложила проект развития и внедрения отечественной вычислительной САЕ-платформы: интеграция на нее модулей различных разработчиков позволит в короткие сроки достичь мирового уровня функциональности — в области математического моделирования Россия за два года сможет выйти на лидирующие мировые позиции. «САЕ-система Росатома „Логос“ — продукт номер один данного класса в России. Сегодня его функциональность составляет 62% в сравнении с аналогичными продуктами мировых лидеров. Но если мы на единой платформе объединим все имеющиеся в стране разработки, это сразу даст 85% функциональности мировых лидеров. По оставшимся 15% посмотрим наработки предприятий и возможности стартапов… За два года мы сможем выйти на лидирующие мировые позиции».</w:t>
      </w:r>
    </w:p>
    <w:p>
      <w:pPr>
        <w:pStyle w:val="Normal1"/>
        <w:rPr>
          <w:sz w:val="24"/>
          <w:szCs w:val="24"/>
        </w:rPr>
      </w:pPr>
      <w:r>
        <w:rPr>
          <w:sz w:val="24"/>
          <w:szCs w:val="24"/>
        </w:rPr>
      </w:r>
    </w:p>
    <w:p>
      <w:pPr>
        <w:pStyle w:val="Normal1"/>
        <w:rPr>
          <w:b/>
          <w:sz w:val="24"/>
          <w:szCs w:val="24"/>
        </w:rPr>
      </w:pPr>
      <w:r>
        <w:rPr>
          <w:b/>
          <w:sz w:val="24"/>
          <w:szCs w:val="24"/>
        </w:rPr>
        <w:t>Справка:</w:t>
      </w:r>
    </w:p>
    <w:p>
      <w:pPr>
        <w:pStyle w:val="Normal1"/>
        <w:rPr>
          <w:sz w:val="24"/>
          <w:szCs w:val="24"/>
        </w:rPr>
      </w:pPr>
      <w:r>
        <w:rPr>
          <w:sz w:val="24"/>
          <w:szCs w:val="24"/>
        </w:rPr>
      </w:r>
    </w:p>
    <w:p>
      <w:pPr>
        <w:pStyle w:val="Normal1"/>
        <w:rPr>
          <w:sz w:val="24"/>
          <w:szCs w:val="24"/>
        </w:rPr>
      </w:pPr>
      <w:r>
        <w:rPr>
          <w:sz w:val="24"/>
          <w:szCs w:val="24"/>
        </w:rPr>
        <w:t>САЕ-системами (Computer-Aided Engineering) называется программное обеспечение, предназначенное для расчетов, анализа и симуляции физических процессов в решении инженерных задач. Системы позволяют при помощи расчетных методов моделировать «поведение» промышленных изделий в реальных условиях эксплуатации.</w:t>
      </w:r>
    </w:p>
    <w:p>
      <w:pPr>
        <w:pStyle w:val="Normal1"/>
        <w:rPr>
          <w:sz w:val="24"/>
          <w:szCs w:val="24"/>
        </w:rPr>
      </w:pPr>
      <w:r>
        <w:rPr>
          <w:sz w:val="24"/>
          <w:szCs w:val="24"/>
        </w:rPr>
      </w:r>
    </w:p>
    <w:p>
      <w:pPr>
        <w:pStyle w:val="Normal1"/>
        <w:rPr>
          <w:sz w:val="24"/>
          <w:szCs w:val="24"/>
        </w:rPr>
      </w:pPr>
      <w:r>
        <w:rPr>
          <w:sz w:val="24"/>
          <w:szCs w:val="24"/>
        </w:rPr>
        <w:t>Госкорпорация «Росатом» — глобальный технологический многопрофильный холдинг, объединяющий активы в энергетике, машиностроении, строительстве. Включает в себя более 400 предприятий и организаций, в которых работает 330 тыс. человек. С 2018 года реализует единую цифровую стратегию (ЕЦС), предполагающую многоплановую работу по ряду направлений. В направлении «Участие в цифровизации РФ» является центром компетенций федерального проекта «Цифровые технологии» нацпрограммы «Цифровая экономика РФ»; выступает компанией-лидером реализации правительственных дорожных карт по развитию высокотехнологичных областей «Новое индустриальное программное обеспечение» и «Квантовые вычисления»; с 2021 года реализует первый российский проект по импортозамещению целого класса промышленного ПО — систем инженерного анализа и математического моделирования (САЕ-класс), с 2022 года выступает координатором проекта по созданию российской PLM-системы тяжелого класса. В направлении «Цифровые продукты» разрабатывает и выводит на рынок цифровые продукты для промышленных предприятий — в портфеле Росатома более 60 цифровых продуктов. В направлении «Внутренняя цифровизация» обеспечивает цифровизацию процессов сооружения АЭС, цифровое импортозамещение и создание Единой цифровой платформы атомной отрасли. Также в рамках ЕЦС Росатом ведет работу по развитию сквозных цифровых технологий, в числе которых технологии работы с данными, интернет вещей, производственные технологии, виртуальная и дополненная реальность, нейротехнологии и искусственный интеллект, технологии беспроводной связи, робототехника и сенсорика и др. В направлении «Цифровые компетенции и культура» реализует образовательные программы для повышения цифровой грамотности сотрудников, а также развивает отраслевые производственно-технологические площадки и конкурсы профессионального мастерства по теме цифровизации.</w:t>
      </w:r>
    </w:p>
    <w:p>
      <w:pPr>
        <w:pStyle w:val="Normal1"/>
        <w:rPr>
          <w:sz w:val="24"/>
          <w:szCs w:val="24"/>
        </w:rPr>
      </w:pPr>
      <w:r>
        <w:rPr>
          <w:sz w:val="24"/>
          <w:szCs w:val="24"/>
        </w:rPr>
      </w:r>
    </w:p>
    <w:p>
      <w:pPr>
        <w:pStyle w:val="Normal1"/>
        <w:rPr>
          <w:sz w:val="24"/>
          <w:szCs w:val="24"/>
        </w:rPr>
      </w:pPr>
      <w:r>
        <w:rPr>
          <w:sz w:val="24"/>
          <w:szCs w:val="24"/>
        </w:rPr>
        <w:t>Перед российской промышленностью стоит цель в кратчайшие сроки обеспечить технологический суверенитет и переход на новейшие технологии. Росатом является партнером государства в реализации проектов цифровизации, направленных на обеспечение технологического суверенитета российской промышленности. Создание импортонезависимого индустриального ПО обеспечит конкурентоспособность российских высокотехнологичных отраслей и их дальнейшее развитие. Программные решения, создаваемые разработчиками Госкорпорации, а также инициативы Росатома по объединению потенциала российских ИТ-компаний, являются важным компонентом достижения глобального технологического лидерства России в цифровой сфере, а также фактором усиления роли Госкорпорации в процессах суверенного развития перспективных технологий.</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863</Words>
  <Characters>6640</Characters>
  <CharactersWithSpaces>7497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