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rPr>
          <w:b/>
          <w:sz w:val="24"/>
          <w:szCs w:val="24"/>
        </w:rPr>
      </w:pPr>
      <w:r>
        <w:rPr>
          <w:b/>
          <w:sz w:val="24"/>
          <w:szCs w:val="24"/>
        </w:rPr>
        <w:t>Росатом принял участие в V Международном муниципальном форуме стран БРИКС+</w:t>
      </w:r>
    </w:p>
    <w:p>
      <w:pPr>
        <w:pStyle w:val="LO-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Госкорпорация поделилась успешным опытом по обращению с радиоактивными отходами</w:t>
      </w:r>
    </w:p>
    <w:p>
      <w:pPr>
        <w:pStyle w:val="LO-normal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LO-normal"/>
        <w:rPr>
          <w:sz w:val="24"/>
          <w:szCs w:val="24"/>
        </w:rPr>
      </w:pPr>
      <w:r>
        <w:rPr>
          <w:sz w:val="24"/>
          <w:szCs w:val="24"/>
        </w:rPr>
        <w:t>Топливный дивизион Росатома (АО «ТВЭЛ», отраслевой интегратор по выводу из эксплуатации ядерно и радиационно опасных объектов и обращению с радиоактивными отходами и Базовая организация стран — участников СНГ по этим  направлениям) провел сессию «Влияние проектов по приведению в безопасное состояние объектов ядерного наследия на социально-экономическое развитие близлежащих населенных пунктов» в рамках V Международного муниципального форума стран БРИКС+. Участие в дискуссии приняли главы органов местного самоуправления из Беларуси, Кыргызстана, России, Таджикистана, расположенных в непосредственной близости от объектов использования атомной энергии, а также представители органов исполнительной власти и международных организаций, специалисты профильных организаций государств СНГ.</w:t>
      </w:r>
    </w:p>
    <w:p>
      <w:pPr>
        <w:pStyle w:val="LO-normal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LO-normal"/>
        <w:rPr>
          <w:sz w:val="24"/>
          <w:szCs w:val="24"/>
        </w:rPr>
      </w:pPr>
      <w:r>
        <w:rPr>
          <w:sz w:val="24"/>
          <w:szCs w:val="24"/>
        </w:rPr>
        <w:t>«Развивая сотрудничество с партнерами из стран БРИКС — Бразилией, Индией, Китаем, ЮАР, — мы видим, что уникальный опыт и работа Базовой организации востребованы далеко за пределами СНГ. В странах БРИКС широко развита атомная энергетика, следовательно, накапливаются радиоактивные отходы, обращение с которыми требует современных технологий. Госкорпорация „Росатом“ готова расширять географию деятельности Базовой организации СНГ на страны БРИКС и, более того, на формат БРИКС+. Мы имеем возможность не только предоставлять квалифицированную экспертную оценку, но и оказывать поддержку в формировании эффективных инструментов — стандартизации, единых подходов, внедрения передовых технологических решений и обмена научными кадрами для безопасного обращения с РАО и технологичного вывода из эксплуатации остановленных объектов», — отметил в своем выступлении директор программ по выводу из эксплуатации АО «ТВЭЛ» Эдуард Никитин.</w:t>
      </w:r>
    </w:p>
    <w:p>
      <w:pPr>
        <w:pStyle w:val="LO-normal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LO-normal"/>
        <w:rPr>
          <w:sz w:val="24"/>
          <w:szCs w:val="24"/>
        </w:rPr>
      </w:pPr>
      <w:r>
        <w:rPr>
          <w:sz w:val="24"/>
          <w:szCs w:val="24"/>
        </w:rPr>
        <w:t>Говоря о проектах по обращению с опасными промышленными отходами на территории России, директор направления по реализации государственных и отраслевых программ в сфере экологии Госкорпорации «Росатом» Андрей Лебедев подчеркнул, что приведение объектов накопленного экологического вреда в безопасное состояние дает новый импульс социально-экономическому развитию регионов. «Реализация Росатомом мероприятий в рамках нацпроекта „Экология“, которые уже пресекли угрозу жизни и здоровью населения и сохранили уникальные природные экосистемы, позволит в будущем улучшить условия жизни для 7,5 млн человек. На пострадавших территориях Усольехимпрома и Байкальского целлюлозно-бумажного комбината в логике экономики замкнутого цикла будут созданы современные производства c новыми рабочими местами, инвестициями и налогами. Госкорпорация при этом обеспечивает формирование устойчивого развития территорий с целью повышения качества жизни людей — именно в этом наше служение экологии и будущему планеты», — отметил он.</w:t>
      </w:r>
    </w:p>
    <w:p>
      <w:pPr>
        <w:pStyle w:val="LO-normal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LO-normal"/>
        <w:rPr>
          <w:sz w:val="24"/>
          <w:szCs w:val="24"/>
        </w:rPr>
      </w:pPr>
      <w:r>
        <w:rPr>
          <w:sz w:val="24"/>
          <w:szCs w:val="24"/>
        </w:rPr>
        <w:t>На сессии главы городов из Центральной Азии и России поделились опытом и сложностями в ходе реализации мероприятий, проектов и программ по улучшению привлечения инвестиций для дальнейшего социально-экономического развития городов и населенных пунктов, имеющих на своей территории объекты уранового наследия. По итогам дискуссии были достигнуты договоренности о дальнейшем развитии межмуниципального сотрудничества, в том числе между Ассоциацией закрытых административно-территориальных образований (ЗАТО) атомной промышленности и муниципалитетами стран Центральной Азии.</w:t>
      </w:r>
    </w:p>
    <w:p>
      <w:pPr>
        <w:pStyle w:val="LO-normal"/>
        <w:rPr>
          <w:sz w:val="24"/>
          <w:szCs w:val="24"/>
        </w:rPr>
      </w:pPr>
      <w:r>
        <w:rPr/>
      </w:r>
    </w:p>
    <w:p>
      <w:pPr>
        <w:pStyle w:val="LO-normal"/>
        <w:rPr>
          <w:sz w:val="24"/>
          <w:szCs w:val="24"/>
        </w:rPr>
      </w:pPr>
      <w:r>
        <w:rPr>
          <w:rFonts w:ascii="Helvetica Neue;Helvetica;Arial;sans-serif" w:hAnsi="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Цифровой блок Росатома (АО «Гринатом Простые Решения», дочерняя компания отраслевого ИТ-интегратора) был представлен в рамках панельной дискуссии на тему «Тренд на клиентоцентричность: ориентир на социум от государства до бизнеса». Генеральный директор компании Светлана Борматова рассказала об успешных практиках выстраивания клиентоцентричной модели в Росатоме, а также построения моделей «вокруг клиента» для органов власти и государственных организаций. В частности, для правительства Нижегородской области были созданы общие центры обслуживания, взявшие на себя документооборот и кадровый учет. Внедрение принципа «единого окна» и стандартов качества за счет оптимизации и цифровизации процессов получило высокую оценку населения и чиновников региона. За основу подхода были взяты более чем 10-летний опыт Госкорпорации «Росатом» по повышению эффективности поддерживающих функций и современные цифровые возможности с учетом специфики работы клиентов. Спикер предложила слушателям подумать о возможности тиражирования наработок, дав возможность власти и государственным компаниям сфокусироваться на основных задачах и поручив обеспечивающие процессы выделенным централизованным функциям.</w:t>
      </w:r>
      <w:r>
        <w:rPr>
          <w:sz w:val="24"/>
          <w:szCs w:val="24"/>
        </w:rPr>
        <w:t xml:space="preserve"> </w:t>
      </w:r>
    </w:p>
    <w:p>
      <w:pPr>
        <w:pStyle w:val="LO-normal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LO-normal"/>
        <w:rPr>
          <w:b/>
          <w:sz w:val="24"/>
          <w:szCs w:val="24"/>
        </w:rPr>
      </w:pPr>
      <w:r>
        <w:rPr>
          <w:b/>
          <w:sz w:val="24"/>
          <w:szCs w:val="24"/>
        </w:rPr>
        <w:t>Справка:</w:t>
      </w:r>
    </w:p>
    <w:p>
      <w:pPr>
        <w:pStyle w:val="LO-normal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LO-normal"/>
        <w:rPr>
          <w:sz w:val="24"/>
          <w:szCs w:val="24"/>
        </w:rPr>
      </w:pPr>
      <w:r>
        <w:rPr>
          <w:sz w:val="24"/>
          <w:szCs w:val="24"/>
        </w:rPr>
        <w:t xml:space="preserve">Топливный дивизион Госкорпорации «Росатом» (Топливная компания Росатома «ТВЭЛ») включает предприятия по фабрикации ядерного топлива, конверсии и обогащению урана, производству газовых центрифуг, а также научно-исследовательские и конструкторские организации. Являясь единственным поставщиком ядерного топлива для российских АЭС, ТВЭЛ обеспечивает топливом в общей сложности 75 энергетических реакторов в 13 государствах, исследовательские реакторы в девяти странах мира, а также транспортные реакторы российского атомного флота. Каждый шестой энергетический реактор в мире работает на топливе ТВЭЛ. Топливный дивизион Росатома является крупнейшим в мире производителем обогащенного урана, а также лидером глобального рынка стабильных изотопов. </w:t>
      </w:r>
    </w:p>
    <w:p>
      <w:pPr>
        <w:pStyle w:val="LO-normal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LO-normal"/>
        <w:rPr>
          <w:sz w:val="24"/>
          <w:szCs w:val="24"/>
        </w:rPr>
      </w:pPr>
      <w:r>
        <w:rPr>
          <w:sz w:val="24"/>
          <w:szCs w:val="24"/>
        </w:rPr>
        <w:t>АО «ТВЭЛ» с 2019 года является отраслевым интегратором по направлению бизнеса «Вывод из эксплуатации ядерно и радиационно опасных объектов и обращение с сопутствующими радиоактивными отходами». Интегратор консолидирует компетенции и референции отрасли, реализует разработку и апробацию новых технологий, реализует все этапы работ от подготовки и реализации вывода из эксплуатации до обращения с сопутствующими РАО и реабилитации территорий. В 2021 году решением Экономического совета СНГ АО «ТВЭЛ» было назначено Базовой организацией государств — участников СНГ по вопросам обращения с отработавшим ядерным топливом (ОЯТ), радиоактивными отходами (РАО) и вывода из эксплуатации ядерно и радиационно опасных объектов (ВЭ ЯРОО). Базовая организация оказывает содействие государствам — участникам СНГ в рамках многостороннего и двустороннего сотрудничества с целью комплексного решении задач в области обращения с ОЯТ, РАО и ВЭ ЯРОО и реализации конкретных проектов на площадках ЯРОО.</w:t>
      </w:r>
    </w:p>
    <w:p>
      <w:pPr>
        <w:pStyle w:val="LO-normal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LO-normal"/>
        <w:rPr>
          <w:sz w:val="24"/>
          <w:szCs w:val="24"/>
        </w:rPr>
      </w:pPr>
      <w:r>
        <w:rPr>
          <w:sz w:val="24"/>
          <w:szCs w:val="24"/>
        </w:rPr>
        <w:t>Многолетний опыт и компетенции по ликвидации ядерного наследия (обращение с РАО и ОЯТ, вывод из эксплуатации) позволили «Росатому» взять на себя ответственность за ликвидацию сложнейших объектов на территории России. Госкорпорация занимается ликвидацией накопленного экологического вреда в рамках нацпроекта «Экология»: «Чистая страна» (Усолье-Сибирское, Красный Бор), «Сохранение озера Байкал» (Байкальский ЦБК), «Чистый воздух» (Магнитогорская городская свалка). Реализация проектов позволит улучшить качество жизни более 10 млн жителей регионов России.</w:t>
      </w:r>
    </w:p>
    <w:p>
      <w:pPr>
        <w:pStyle w:val="LO-normal"/>
        <w:rPr>
          <w:sz w:val="24"/>
          <w:szCs w:val="24"/>
        </w:rPr>
      </w:pPr>
      <w:r>
        <w:rPr/>
      </w:r>
    </w:p>
    <w:p>
      <w:pPr>
        <w:pStyle w:val="LO-normal"/>
        <w:rPr>
          <w:sz w:val="24"/>
          <w:szCs w:val="24"/>
        </w:rPr>
      </w:pPr>
      <w:r>
        <w:rPr>
          <w:sz w:val="24"/>
          <w:szCs w:val="24"/>
        </w:rPr>
        <w:t>АО «Гринатом Простые Решения» входит в контур Госкорпорации «Росатом». Создано для продвижения продуктов на рынки вне атомной отрасли. Компания предлагает клиентам решения для построения и развития общих центров обслуживания, роботизации, повышения эффективности процессов, а также по импортозамещению рабочих мест и ИТ-инфраструктуры.</w:t>
      </w:r>
    </w:p>
    <w:p>
      <w:pPr>
        <w:pStyle w:val="LO-normal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LO-normal"/>
        <w:rPr>
          <w:sz w:val="24"/>
          <w:szCs w:val="24"/>
        </w:rPr>
      </w:pPr>
      <w:r>
        <w:rPr>
          <w:sz w:val="24"/>
          <w:szCs w:val="24"/>
        </w:rPr>
        <w:t>Россия активно развивает сотрудничество с дружественными государствами. Несмотря на внешние ограничения, отечественная экономика наращивает экспортный потенциал, осуществляет поставки товаров, услуг и сырья по всему миру. Продолжается реализация крупных зарубежных энергетических проектов. Росатом и его дивизионы принимают активное участие в этой работе.</w:t>
      </w:r>
    </w:p>
    <w:p>
      <w:pPr>
        <w:pStyle w:val="LO-normal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LO-normal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  <w:font w:name="Helvetica Neue">
    <w:altName w:val="Helvetica"/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LO-normal"/>
    <w:next w:val="LO-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LO-normal"/>
    <w:next w:val="LO-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LO-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3</Pages>
  <Words>920</Words>
  <Characters>6698</Characters>
  <CharactersWithSpaces>7627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2023-11-10T18:50:20Z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