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10744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744"/>
      </w:tblGrid>
      <w:tr>
        <w:trPr/>
        <w:tc>
          <w:tcPr>
            <w:tcW w:w="10744" w:type="dxa"/>
            <w:tcBorders/>
          </w:tcPr>
          <w:p>
            <w:pPr>
              <w:pStyle w:val="Normal1"/>
              <w:widowControl w:val="false"/>
              <w:rPr/>
            </w:pPr>
            <w:r>
              <w:rPr/>
            </w:r>
          </w:p>
        </w:tc>
      </w:tr>
    </w:tbl>
    <w:p>
      <w:pPr>
        <w:pStyle w:val="Normal1"/>
        <w:spacing w:lineRule="auto" w:line="259"/>
        <w:jc w:val="left"/>
        <w:rPr>
          <w:b/>
        </w:rPr>
      </w:pPr>
      <w:r>
        <w:rPr>
          <w:b/>
        </w:rPr>
        <w:t>Росатом в 2026 году введет в эксплуатацию два пункта финальной изоляции радиоактивных отходов на территории России</w:t>
      </w:r>
    </w:p>
    <w:p>
      <w:pPr>
        <w:pStyle w:val="Normal1"/>
        <w:spacing w:lineRule="auto" w:line="259"/>
        <w:jc w:val="left"/>
        <w:rPr>
          <w:b/>
        </w:rPr>
      </w:pPr>
      <w:r>
        <w:rPr>
          <w:b/>
        </w:rPr>
      </w:r>
    </w:p>
    <w:p>
      <w:pPr>
        <w:pStyle w:val="Normal1"/>
        <w:spacing w:lineRule="auto" w:line="259"/>
        <w:jc w:val="left"/>
        <w:rPr>
          <w:b/>
          <w:i/>
          <w:i/>
        </w:rPr>
      </w:pPr>
      <w:r>
        <w:rPr>
          <w:b/>
          <w:i/>
        </w:rPr>
        <w:t>Ввод новых ПЗРО позволит прекратить практику накопления радиоактивных отходов и перейти к этапу планомерного снижения объемов их хранения</w:t>
      </w:r>
    </w:p>
    <w:p>
      <w:pPr>
        <w:pStyle w:val="Normal1"/>
        <w:spacing w:lineRule="auto" w:line="259"/>
        <w:jc w:val="left"/>
        <w:rPr>
          <w:b/>
        </w:rPr>
      </w:pPr>
      <w:r>
        <w:rPr>
          <w:b/>
        </w:rPr>
      </w:r>
    </w:p>
    <w:p>
      <w:pPr>
        <w:pStyle w:val="Normal1"/>
        <w:spacing w:lineRule="auto" w:line="259"/>
        <w:ind w:firstLine="709"/>
        <w:jc w:val="both"/>
        <w:rPr/>
      </w:pPr>
      <w:r>
        <w:rPr/>
        <w:t>В Санкт-Петербурге прошла стратегическая сессия по вопросам вывода из эксплуатации ядерных и радиационно опасных объектов и обращения с объектами ядерного наследия, организованная Госкорпорацией «Росатом».</w:t>
      </w:r>
    </w:p>
    <w:p>
      <w:pPr>
        <w:pStyle w:val="Normal1"/>
        <w:spacing w:lineRule="auto" w:line="259"/>
        <w:ind w:firstLine="709"/>
        <w:jc w:val="both"/>
        <w:rPr/>
      </w:pPr>
      <w:r>
        <w:rPr/>
        <w:t>В работе сессии приняли участие более 150 специалистов и экспертов отрасли, включая профильных руководителей Госкорпорации «Росатом», представителей ведущих предприятий, научно-исследовательских институтов и образовательных организаций, российских компаний — разработчиков и поставщиков технологического оборудования и цифровых решений.</w:t>
      </w:r>
    </w:p>
    <w:p>
      <w:pPr>
        <w:pStyle w:val="Normal1"/>
        <w:spacing w:lineRule="auto" w:line="259"/>
        <w:ind w:firstLine="709"/>
        <w:jc w:val="both"/>
        <w:rPr/>
      </w:pPr>
      <w:r>
        <w:rPr/>
        <w:t>Открывая стратегическую сессию, заместитель генерального директора по машиностроению и индустриальным решениям Госкорпорации «Росатом» Андрей Никипелов отметил: «Мы научились технологично и безопасно ликвидировать сложнейшие объекты ядерного наследия. За последние семь лет в России было выведено из эксплуатации более 50 ядерных и радиационно опасных объектов, завершивших свой производственный цикл. Задача на перспективу — консолидировать полученный опыт и выйти на новые рынки. Росатом уже является мировым лидером по строительству АЭС за рубежом. Но мы также видим и потенциал для зарубежных бизнес-проектов, связанных с заключительной стадией жизненного цикла». Напомним, что Росатом уже реализует проекты по ликвидации уранового наследия за рубежом: с опережением срока завершена рекультивация бывшего уранового производства в Таджикистане. В завершающую стадию также вступил аналогичный проект в Республике Кыргызстан.</w:t>
      </w:r>
    </w:p>
    <w:p>
      <w:pPr>
        <w:pStyle w:val="Normal1"/>
        <w:spacing w:lineRule="auto" w:line="259"/>
        <w:ind w:firstLine="709"/>
        <w:jc w:val="both"/>
        <w:rPr/>
      </w:pPr>
      <w:bookmarkStart w:id="0" w:name="_heading=h.gjdgxs"/>
      <w:bookmarkEnd w:id="0"/>
      <w:r>
        <w:rPr/>
        <w:t>Со своей стороны, комментируя планы на ближайшие годы, директор по государственной политике в области радиоактивных отходов (РАО), отработавшего ядерного топлива (ОЯТ) и вывода из эксплуатации радиационно опасных объектов (ВЭ ЯРОО) Госкорпорации «Росатом» Василий Тинин отметил: «В ближайшее десятилетие мы создадим современную инфраструктуру для обращения с радиоактивными отходами, отработавшим ядерным топливом и вывода из эксплуатации. В 2026 году мы введем в эксплуатацию два объекта окончательной изоляции радиоактивных отходов — в Северске и Озерске. Таким образом, в России будут полностью сняты проблемы с передачей на захоронение радиоактивных отходов 3-го и 4-го класса. Это наша первостепенная задача, и мы ее точно реализуем». Василий Тинин также добавил: «Два будущих ПЗРО позволят прекратить практику накопления радиоактивных отходов и перейти к этапу планомерного снижения объемов их хранения. Также Росатом завершил проектирование первого радиохимического производства — радиохимического завода АО «СХК». Проект является уникальным, первым в мире, выполнен полностью с использованием отечественных цифровых технологий», — рассказал он.</w:t>
      </w:r>
    </w:p>
    <w:p>
      <w:pPr>
        <w:pStyle w:val="Normal1"/>
        <w:spacing w:lineRule="auto" w:line="259"/>
        <w:ind w:firstLine="709"/>
        <w:jc w:val="both"/>
        <w:rPr/>
      </w:pPr>
      <w:r>
        <w:rPr/>
        <w:t>Цифровизации заключительной стадии жизненного цикла ядерных объектов был посвящен отдельный блок стратегической сессии. Росатом внедряет цифровые технологии в процессы вывода из эксплуатации и обращения с РАО с целью сокращения сроков и стоимости выполнения проектов без ущерба для безопасности. Предприятия отрасли проявили высокую заинтересованность во внедрении высокотехнологических отечественных разработок — передовых робототехнических комплексов, дистанционно управляемых машин и механизмов для проведения комплексных радиационных обследований, демонтажа радиационно загрязненных конструкций и обращения с РАО.</w:t>
      </w:r>
    </w:p>
    <w:p>
      <w:pPr>
        <w:pStyle w:val="Normal1"/>
        <w:spacing w:lineRule="auto" w:line="259"/>
        <w:ind w:firstLine="709"/>
        <w:jc w:val="both"/>
        <w:rPr/>
      </w:pPr>
      <w:r>
        <w:rPr/>
        <w:t>Планируется, что цифровые технологии также серьезно повысят эффективность масштабных проектов по выводу из эксплуатации первых серийных блоков АЭС большой мощности. На сегодняшний день в режиме останова находятся девять блоков, останов еще шести запланирован до 2030 года, а с учетом активного замещения выбывающих мощностей новые темпы этой работы будут только нарастать.</w:t>
      </w:r>
    </w:p>
    <w:p>
      <w:pPr>
        <w:pStyle w:val="Normal1"/>
        <w:spacing w:lineRule="auto" w:line="259"/>
        <w:ind w:left="0" w:hanging="0"/>
        <w:jc w:val="both"/>
        <w:rPr/>
      </w:pPr>
      <w:r>
        <w:rPr/>
      </w:r>
    </w:p>
    <w:p>
      <w:pPr>
        <w:pStyle w:val="Normal1"/>
        <w:spacing w:lineRule="auto" w:line="259"/>
        <w:ind w:firstLine="709"/>
        <w:jc w:val="both"/>
        <w:rPr/>
      </w:pPr>
      <w:r>
        <w:rPr/>
        <w:t>Инновационные технологии Росатома основаны на передовых достижениях российской атомной науки и в полной мере отвечают актуальной ESG-повестке. Достигнутые результаты — это труд тысяч высококвалифицированных профессионалов, которые работают в интересах экономической стабильности России. Четкое взаимодействие промышленных предприятий с научно-исследовательскими институтами помогает укреплять технологический суверенитет страны, повышать конкурентоспособность отечественной атомной отрасли.</w:t>
      </w:r>
    </w:p>
    <w:p>
      <w:pPr>
        <w:pStyle w:val="Normal1"/>
        <w:spacing w:lineRule="auto" w:line="276"/>
        <w:jc w:val="both"/>
        <w:rPr/>
      </w:pPr>
      <w:r>
        <w:rPr/>
      </w:r>
    </w:p>
    <w:p>
      <w:pPr>
        <w:pStyle w:val="Normal1"/>
        <w:jc w:val="both"/>
        <w:rPr>
          <w:b/>
          <w:i/>
          <w:i/>
        </w:rPr>
      </w:pPr>
      <w:r>
        <w:rPr>
          <w:b/>
          <w:i/>
        </w:rPr>
        <w:t>Справка:</w:t>
      </w:r>
    </w:p>
    <w:p>
      <w:pPr>
        <w:pStyle w:val="Normal1"/>
        <w:jc w:val="both"/>
        <w:rPr>
          <w:b/>
          <w:i/>
          <w:i/>
        </w:rPr>
      </w:pPr>
      <w:r>
        <w:rPr>
          <w:b/>
          <w:i/>
        </w:rPr>
      </w:r>
    </w:p>
    <w:p>
      <w:pPr>
        <w:pStyle w:val="Normal1"/>
        <w:jc w:val="both"/>
        <w:rPr>
          <w:i/>
          <w:i/>
        </w:rPr>
      </w:pPr>
      <w:r>
        <w:rPr>
          <w:i/>
        </w:rPr>
        <w:t>Государственная корпорация по атомной энергии «Росатом» — многопрофильный холдинг, объединяющий активы в энергетике, машиностроении, строительстве. Его стратегия заключается в развитии низкоуглеродной генерации, включая ветроэнергетику. Госкорпорация «Росатом» является национальным лидером в производстве электроэнергии (около 20 % от общей выработки) и занимает первое место в мире по величине портфеля заказов на сооружение АЭС: на разной стадии реализации находятся 33 энергоблока в 10 странах. Росатом — единственная в мире компания, которая обладает компетенциями во всей технологической цепочке ядерного топливного цикла: от добычи природного урана до завершающей стадии жизненного цикла атомных объектов. В сферу ее деятельности входит также производство инновационной ядерной и неядерной продукции, проведение научных исследований, развитие Северного морского пути и экологических проектов, включая создание экотехнопарков и государственной системы обращения с опасными промышленными отходами. Госкорпорация объединяет более 350 предприятий и организаций, в которых работают свыше 330 тыс. человек. С октября 2020 года Госкорпорация «Росатом» является членом Глобального договора Организации Объединенных Наций (UN Global Compact) — крупнейшей международной инициативы ООН для бизнеса в сфере корпоративной социальной ответственности и устойчивого развития.</w:t>
      </w:r>
    </w:p>
    <w:p>
      <w:pPr>
        <w:pStyle w:val="Normal1"/>
        <w:spacing w:lineRule="auto" w:line="259"/>
        <w:ind w:left="0" w:hanging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gutter="0" w:header="0" w:top="426" w:footer="0" w:bottom="4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  <w:font w:name="Cambria">
    <w:charset w:val="01"/>
    <w:family w:val="swiss"/>
    <w:pitch w:val="default"/>
  </w:font>
  <w:font w:name="Georgia"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spacing w:lineRule="auto" w:line="240" w:before="240" w:after="60"/>
    </w:pPr>
    <w:rPr>
      <w:rFonts w:ascii="Calibri" w:hAnsi="Calibri" w:eastAsia="Calibri" w:cs="Calibri"/>
      <w:b/>
      <w:sz w:val="32"/>
      <w:szCs w:val="32"/>
    </w:rPr>
  </w:style>
  <w:style w:type="paragraph" w:styleId="2">
    <w:name w:val="Heading 2"/>
    <w:basedOn w:val="Normal1"/>
    <w:next w:val="Normal1"/>
    <w:qFormat/>
    <w:pPr>
      <w:keepNext w:val="true"/>
      <w:spacing w:lineRule="auto" w:line="240" w:before="240" w:after="60"/>
    </w:pPr>
    <w:rPr>
      <w:rFonts w:ascii="Cambria" w:hAnsi="Cambria" w:eastAsia="Cambria" w:cs="Cambria"/>
      <w:b/>
      <w:i/>
      <w:sz w:val="28"/>
      <w:szCs w:val="28"/>
    </w:rPr>
  </w:style>
  <w:style w:type="paragraph" w:styleId="3">
    <w:name w:val="Heading 3"/>
    <w:basedOn w:val="Normal1"/>
    <w:next w:val="Normal1"/>
    <w:qFormat/>
    <w:pPr>
      <w:keepNext w:val="true"/>
      <w:spacing w:lineRule="auto" w:line="240" w:before="240" w:after="60"/>
    </w:pPr>
    <w:rPr>
      <w:rFonts w:ascii="Cambria" w:hAnsi="Cambria" w:eastAsia="Cambria" w:cs="Cambria"/>
      <w:b/>
      <w:sz w:val="26"/>
      <w:szCs w:val="26"/>
    </w:rPr>
  </w:style>
  <w:style w:type="paragraph" w:styleId="4">
    <w:name w:val="Heading 4"/>
    <w:basedOn w:val="Normal1"/>
    <w:next w:val="Normal1"/>
    <w:qFormat/>
    <w:pPr>
      <w:keepNext w:val="true"/>
      <w:spacing w:lineRule="auto" w:line="276" w:before="240" w:after="60"/>
    </w:pPr>
    <w:rPr>
      <w:b/>
      <w:sz w:val="28"/>
      <w:szCs w:val="28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SQbEW3+ur39LkEqunoVe0G6N5CQ==">CgMxLjAyCGguZ2pkZ3hzOABqIQoUc3VnZ2VzdC5pOW9vc2NidzUzeXESCUFuZHJleSBTLmohChRzdWdnZXN0LmhqbjQ1eTFlbDVsNxIJQW5kcmV5IFMuaiEKFHN1Z2dlc3QuZmM5ZDk4NTE0aTRiEglBbmRyZXkgUy5qIQoUc3VnZ2VzdC50ZWcycTd4MWJjejQSCUFuZHJleSBTLmogChNzdWdnZXN0LmhmcnhiaTNlZWgyEglBbmRyZXkgUy5qIQoUc3VnZ2VzdC5tYm1naTVrMmMxdXMSCUFuZHJleSBTLmohChRzdWdnZXN0LjU2MjJhZThjaXlkMhIJQW5kcmV5IFMuaiEKFHN1Z2dlc3QucW9vNWJmc3M3Y2t6EglBbmRyZXkgUy5qIQoUc3VnZ2VzdC4yajVsemZuMzZ0NTUSCUFuZHJleSBTLmohChRzdWdnZXN0LmZqN2drejRtOXo3cxIJQW5kcmV5IFMuaiEKFHN1Z2dlc3QuampqM25qYWN1aHJiEglBbmRyZXkgUy5qIQoUc3VnZ2VzdC5uOHhmMHduMzBtbnYSCUFuZHJleSBTLmohChRzdWdnZXN0LjMwZ2JibXdlNWR0MBIJQW5kcmV5IFMuaiEKFHN1Z2dlc3QuYmZ3MjVxNnI4d2o0EglBbmRyZXkgUy5qIQoUc3VnZ2VzdC41bmthamFxNXE0dWcSCUFuZHJleSBTLmohChRzdWdnZXN0LmdnOG5ndXF5MzcyeRIJQW5kcmV5IFMuaiEKFHN1Z2dlc3QuZzF0bmhxeXNmdmhiEglBbmRyZXkgUy5qIQoUc3VnZ2VzdC5obGp2NHc5Z2gweWUSCUFuZHJleSBTLmohChRzdWdnZXN0Lmk1cGZuc25tejYwcxIJQW5kcmV5IFMuaiEKFHN1Z2dlc3QuNm42azlkaTVnNmdiEglBbmRyZXkgUy5qIQoUc3VnZ2VzdC40MTVybHB0cDZsMWMSCUFuZHJleSBTLmogChNzdWdnZXN0LjdrOTRpbmRicHE1EglBbmRyZXkgUy5qIQoUc3VnZ2VzdC5kMG9teGRpYjZvMmMSCUFuZHJleSBTLmohChRzdWdnZXN0LmVrdmZhc3NoOWJhMhIJQW5kcmV5IFMuaiEKFHN1Z2dlc3QuNWp3aHJibXhvbXk1EglBbmRyZXkgUy5qIQoUc3VnZ2VzdC5xbjk4M284MjJvcTUSCUFuZHJleSBTLmogChNzdWdnZXN0LjQ3YTdia295cnJnEglBbmRyZXkgUy5qIQoUc3VnZ2VzdC5jb3U3Mm16MnptM2gSCUFuZHJleSBTLmogChNzdWdnZXN0LmZybHNsMnlscXMwEglBbmRyZXkgUy5qIQoUc3VnZ2VzdC5zNnB3eDYzaGh5d3MSCUFuZHJleSBTLnIhMVJhdnZJOVAxb2tDamNZcGhsdGJGcUF0S1hwX0ZJY0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684</Words>
  <Characters>5040</Characters>
  <CharactersWithSpaces>5723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