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40" w:after="80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Подведены итоги конкурса «Учитель для Росатома. Физики»</w:t>
      </w:r>
    </w:p>
    <w:p>
      <w:pPr>
        <w:pStyle w:val="Normal1"/>
        <w:spacing w:lineRule="auto" w:line="240" w:before="0" w:after="8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20 лучших учителей физики из городов АЭС получат гранты по 200 тысяч рублей</w:t>
      </w:r>
    </w:p>
    <w:p>
      <w:pPr>
        <w:pStyle w:val="Normal1"/>
        <w:spacing w:lineRule="auto" w:line="240" w:before="0" w:after="8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spacing w:lineRule="auto" w:line="240" w:before="0" w:after="80"/>
        <w:jc w:val="both"/>
        <w:rPr>
          <w:sz w:val="24"/>
          <w:szCs w:val="24"/>
        </w:rPr>
      </w:pPr>
      <w:r>
        <w:rPr>
          <w:sz w:val="24"/>
          <w:szCs w:val="24"/>
        </w:rPr>
        <w:t>Концерн «Росэнергоатом» (электроэнергетический дивизион Госкорпорации «Росатом») объявил итоги грантового конкурса «Учитель для Росатома. Физики». Лидерами по количеству призеров стали города Балаково, Нововоронеж и Полярные Зори.</w:t>
      </w:r>
    </w:p>
    <w:p>
      <w:pPr>
        <w:pStyle w:val="Normal1"/>
        <w:spacing w:lineRule="auto" w:line="240" w:before="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целями конкурса стали выявление, поддержка и поощрение талантливых учителей-физиков в городах присутствия концерна «Росэнергоатом», а также распространение инновационного педагогического опыта по данной дисциплине, привлечение интереса к атомной отрасли. </w:t>
      </w:r>
    </w:p>
    <w:p>
      <w:pPr>
        <w:pStyle w:val="Normal1"/>
        <w:spacing w:lineRule="auto" w:line="240" w:before="0" w:after="80"/>
        <w:jc w:val="both"/>
        <w:rPr>
          <w:sz w:val="24"/>
          <w:szCs w:val="24"/>
        </w:rPr>
      </w:pPr>
      <w:r>
        <w:rPr>
          <w:sz w:val="24"/>
          <w:szCs w:val="24"/>
        </w:rPr>
        <w:t>Каждый из 20 победителей получит грант 200 тысяч рублей. Торжественная церемония награждения лучших учителей из городов АЭС пройдет в декабре в Москве, где памятные призы вручит генеральный директор ГК «Росатом» Алексей Лихачев.</w:t>
      </w:r>
    </w:p>
    <w:p>
      <w:pPr>
        <w:pStyle w:val="Normal1"/>
        <w:spacing w:lineRule="auto" w:line="240" w:before="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проходил в двух номинациях: среди учителей физики 7–9-х классов и 10–11-х классов. Всего было направлено 43 заявки. Данные из анкет участников внимательно изучили и проверили члены экспертной комиссии. </w:t>
      </w:r>
    </w:p>
    <w:p>
      <w:pPr>
        <w:pStyle w:val="Normal1"/>
        <w:spacing w:lineRule="auto" w:line="240" w:before="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«Я очень рада, такой победы среди моих достижений еще не было! Спасибо Росатому за прекрасную возможность. Уверена, выражу общее мнение, если скажу, что конкурс помог встрепенуться и расправить крылья всем нам. Учителя вспомнили, что все еще конкурентоспособны и способны на многое. А главное, мы поняли, что работаем хорошо!» — поделилась впечатлениями учитель физики в старших классах лицея № 1 города Балаково Наталья Александрова. </w:t>
      </w:r>
    </w:p>
    <w:p>
      <w:pPr>
        <w:pStyle w:val="Normal1"/>
        <w:spacing w:lineRule="auto" w:line="240" w:before="0" w:after="80"/>
        <w:jc w:val="both"/>
        <w:rPr>
          <w:sz w:val="24"/>
          <w:szCs w:val="24"/>
        </w:rPr>
      </w:pPr>
      <w:r>
        <w:rPr>
          <w:sz w:val="24"/>
          <w:szCs w:val="24"/>
        </w:rPr>
        <w:t>Концерн «Росэнергоатом» благодарит участников первенства «Учитель для Росатома. Физики» за труд в развитии и популяризации физики в городах присутствия атомных электростанций, а также за проявленный интерес к конкурсу и работу с учениками.</w:t>
      </w:r>
    </w:p>
    <w:p>
      <w:pPr>
        <w:pStyle w:val="Normal1"/>
        <w:spacing w:lineRule="auto" w:line="240" w:before="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0" w:after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Кто победил в конкурсе?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Победители в номинации «Учитель физики 10–11-х классов»: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Александрова Наталья, г. Балаково, МАОУ Лицей № 1;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Баласанова Ольга, г. Балаково, МАОУ СОШ № 28;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Гордиенко Татьяна, г. Балаково, МАОУ СОШ № 18;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Зубко Анастасия, г. Десногорск, МБОУ СШ № 3;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Карбовская Анна, г. Балаково, МАУ СОШ № 27;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Конкин Александр, г. Полярные Зори, МОУ Гимназия № 1;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Ниронова Татьяна, г. Балаково, МАОУ Лицей № 2;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Пырина Людмила, г. Нововоронеж, МАОУ Лицей № 2;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Ушакова Галина, г. Курчатов, МБОУ Гимназия № 1;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Шевченко Надежда, г. Нововоронеж, МБОУ СОШ № 1.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Победители в номинации «Учитель физики 7–9-х классов»: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Бычкова Наталья, г. Балаково, МАОУ Лицей № 1;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Васькина Оксана, г. Певек, МБОУ Центр образования;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Горюшина Ольга, г. Полярные Зори, МОУ Гимназия № 1;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Ильина Елена, г. Курчатов, МБОУ Лицей № 3;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Каменева Анна, г. Балаково, МАОУ Гимназия № 2;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 xml:space="preserve">Марабаева </w:t>
      </w:r>
      <w:r>
        <w:rPr>
          <w:sz w:val="24"/>
          <w:szCs w:val="24"/>
        </w:rPr>
        <w:t>Виолета, г. Балаково, МАОУ СОШ № 3;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Нерода Александр, г. Удомля, МБОУ Гимназия № 3;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Перова Екатерина, г. Балаково, МАОУ Гимназия № 1;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Уразов Павел, г. Нововоронеж, МКОУ СОШ № 2;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 xml:space="preserve">∙ </w:t>
      </w:r>
      <w:r>
        <w:rPr>
          <w:rFonts w:eastAsia="Arial Unicode MS" w:cs="Arial Unicode MS" w:ascii="Arial Unicode MS" w:hAnsi="Arial Unicode MS"/>
          <w:sz w:val="24"/>
          <w:szCs w:val="24"/>
        </w:rPr>
        <w:t>Цибарт Анна, г. Сосновый Бор, МБОУ Лицей № 8.</w:t>
      </w:r>
    </w:p>
    <w:p>
      <w:pPr>
        <w:pStyle w:val="Normal1"/>
        <w:spacing w:lineRule="auto" w:line="240" w:before="0" w:after="8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spacing w:lineRule="auto" w:line="240" w:before="0" w:after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spacing w:lineRule="auto" w:line="240" w:before="0" w:after="80"/>
        <w:jc w:val="both"/>
        <w:rPr>
          <w:sz w:val="24"/>
          <w:szCs w:val="24"/>
        </w:rPr>
      </w:pPr>
      <w:r>
        <w:rPr>
          <w:sz w:val="24"/>
          <w:szCs w:val="24"/>
        </w:rPr>
        <w:t>В Росатоме реализуется ряд программ, направленных на профессиональную ориентацию школьников и повышение компетенций учителей в атомных городах. Открываются специализированные атомклассы, инженериумы и лаборатории, мастерские в сузах, центры компетенций с учебными тренажерами в опорных вузах. Одним из крупнейших проектов является «Школа Росатома», который включает в себя все современные онлайн- и офлайн-формы обучения и активностей для школьников и педагогов.</w:t>
      </w:r>
    </w:p>
    <w:p>
      <w:pPr>
        <w:pStyle w:val="Normal1"/>
        <w:spacing w:lineRule="auto" w:line="240" w:before="0" w:after="80"/>
        <w:jc w:val="both"/>
        <w:rPr>
          <w:sz w:val="24"/>
          <w:szCs w:val="24"/>
        </w:rPr>
      </w:pPr>
      <w:r>
        <w:rPr>
          <w:sz w:val="24"/>
          <w:szCs w:val="24"/>
        </w:rPr>
        <w:t>Правительство РФ и ГК «Росатом» уделяют большое внимание планомерной работе по раскрытию потенциала школьников и студентов. Росатом и его предприятия участвуют в создании атомклассов на базе школ и кафедр в российских вузах, реализации стипендиальных программ поддержки, крупных образовательных проектах, организации практики и стажировки для студентов с последующим их трудоустройством.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540</Words>
  <Characters>3192</Characters>
  <CharactersWithSpaces>3701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