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189"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>На Ленинградской АЭС модернизировали оборудование для теплоснабжения города Сосновый Бор</w:t>
      </w:r>
    </w:p>
    <w:p>
      <w:pPr>
        <w:pStyle w:val="Normal1"/>
        <w:spacing w:lineRule="auto" w:line="189" w:before="240" w:after="0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Новая отечественная система очистки в бойлерной АЭС, питающей теплом и горячей водой 65-тысячный город Сосновый Бор, позволит сохранить трубопроводы от коррозии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В бойлерной районного теплоснабжения Ленинградской АЭС смонтированы два декарбонизатора. Новое оборудование представляет собой цилиндрические стальные баки с наполнителем, позволяющим эффективно удалять из воды углекислый газ, который вызывает коррозию оборудования и трубопроводов. Предыдущие декарбонизаторы находились в работе с 1987 года, за это время произошел их технический износ.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sz w:val="24"/>
          <w:szCs w:val="24"/>
        </w:rPr>
        <w:t>«Новое современное оснащение препятствует появлению коррозии в трубопроводах и насосном оборудовании. Это позволит стабильно обеспечивать теплом в осенне-зимний период и горячей водой круглогодично не только дома, социальные объекты в г. Сосновый Бор, но и промзону, где расположена Ленинградская АЭС, а также другие предприятия атомной отрасли», — рассказал начальник химического цеха</w:t>
      </w:r>
      <w:r>
        <w:rPr>
          <w:b/>
          <w:sz w:val="24"/>
          <w:szCs w:val="24"/>
        </w:rPr>
        <w:t xml:space="preserve"> Сергей Ушаков. 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Раньше для удаления углекислоты использовались керамические кольца Рашига — кислотоупорные детали в виде цилиндров диаметром 25 мм, которые засыпались в рабочие емкости оборудования в хаотичном порядке. Теперь на новом оборудовании используется специальный наполнитель отечественного производителя из Санкт-Петербурга, который более чем в четыре раза эффективнее предыдущего. Такой подход позволил ускорить процесс дегазации воды, а материал, из которого изготовлен наполнитель, при промывке не может разбиться или раскрошиться, что повышает срок службы наполнителя.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Модернизация бойлерной продолжается: постепенно будут выполнены работы по замене брызгоотделителей и подводящих трубопроводов, модернизация складов хранения реагентов, узла регенерации фильтров, узла нейтрализации кислых вод после регенерации. Срок окончания работ — в 2028 году.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экономики, на улучшение качества жизни граждан, способствует развитию и благоустройству регионов страны, городов, поселков. Доля низкоуглеродной электрогенерации в российской энергетике составляет уже около 40%. В перспективе, с учетом роста доли атомной генерации, она будет только расти.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jc w:val="both"/>
        <w:rPr>
          <w:i/>
          <w:i/>
          <w:sz w:val="24"/>
          <w:szCs w:val="24"/>
          <w:highlight w:val="white"/>
        </w:rPr>
      </w:pPr>
      <w:r>
        <w:rPr>
          <w:i/>
          <w:sz w:val="24"/>
          <w:szCs w:val="24"/>
        </w:rPr>
        <w:t>Ленинградская АЭС является крупнейшей атомной станцией в России по установленной мощности — 4400 МВт. Здесь эксплуатируются четыре блока РБМК-1000 и два блока ВВЭР-1200. Энергоблоки № 1 и 2 РБМК-1000 остановлены для вывода из эксплуатации после 45 лет службы. Им на смену в 2018 и 2021 годах были введены два блока ВВЭР-1200. Проектный срок их службы составляет 60 лет с возможностью продления еще на 20 лет. Еще два новых энергоблока ВВЭР-1200 Ленинградской АЭС, № 7 и 8,планируется ввести в эксплуатацию в 2030 и 2032 годах соответственно. Они станут замещающими мощностями энергоблоков РБМК-1000 № 3 и 4</w:t>
      </w:r>
      <w:r>
        <w:rPr>
          <w:i/>
          <w:sz w:val="24"/>
          <w:szCs w:val="24"/>
          <w:highlight w:val="white"/>
        </w:rPr>
        <w:t>. Ежегодная выработка каждого энергоблока ВВЭР-1200 составляет более 8,5 млрд КВт </w:t>
      </w:r>
      <w:r>
        <w:rPr>
          <w:rFonts w:eastAsia="Arial Unicode MS" w:cs="Arial Unicode MS" w:ascii="Arial Unicode MS" w:hAnsi="Arial Unicode MS"/>
          <w:i/>
          <w:sz w:val="24"/>
          <w:szCs w:val="24"/>
          <w:highlight w:val="white"/>
        </w:rPr>
        <w:t>⋅ ч</w:t>
      </w:r>
      <w:r>
        <w:rPr>
          <w:i/>
          <w:sz w:val="24"/>
          <w:szCs w:val="24"/>
          <w:highlight w:val="white"/>
        </w:rPr>
        <w:t xml:space="preserve"> электроэнергии.</w:t>
      </w:r>
    </w:p>
    <w:p>
      <w:pPr>
        <w:pStyle w:val="Normal1"/>
        <w:spacing w:lineRule="auto" w:line="189" w:before="240"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399</Words>
  <Characters>2795</Characters>
  <CharactersWithSpaces>3198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