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shd w:val="clear" w:fill="FFFFFF"/>
        <w:spacing w:lineRule="auto" w:line="288" w:before="0" w:after="200"/>
        <w:rPr>
          <w:rFonts w:ascii="Helvetica Neue" w:hAnsi="Helvetica Neue" w:eastAsia="Helvetica Neue" w:cs="Helvetica Neue"/>
          <w:b/>
        </w:rPr>
      </w:pPr>
      <w:r>
        <w:rPr>
          <w:rFonts w:eastAsia="Helvetica Neue" w:cs="Helvetica Neue" w:ascii="Helvetica Neue" w:hAnsi="Helvetica Neue"/>
          <w:b/>
        </w:rPr>
        <w:t>Belarus NPP</w:t>
      </w:r>
    </w:p>
    <w:tbl>
      <w:tblPr>
        <w:tblStyle w:val="Table1"/>
        <w:tblW w:w="8732" w:type="dxa"/>
        <w:jc w:val="left"/>
        <w:tblInd w:w="0" w:type="dxa"/>
        <w:tblLayout w:type="fixed"/>
        <w:tblCellMar>
          <w:top w:w="160" w:type="dxa"/>
          <w:left w:w="160" w:type="dxa"/>
          <w:bottom w:w="160" w:type="dxa"/>
          <w:right w:w="160" w:type="dxa"/>
        </w:tblCellMar>
        <w:tblLook w:val="0600"/>
      </w:tblPr>
      <w:tblGrid>
        <w:gridCol w:w="3802"/>
        <w:gridCol w:w="4929"/>
      </w:tblGrid>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Location</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 xml:space="preserve">Grodno region, Ostrovets </w:t>
            </w:r>
            <w:r>
              <w:rPr>
                <w:rFonts w:eastAsia="Helvetica Neue" w:cs="Helvetica Neue" w:ascii="Helvetica Neue" w:hAnsi="Helvetica Neue"/>
                <w:lang w:val="en-US"/>
              </w:rPr>
              <w:t>city</w:t>
            </w:r>
            <w:r>
              <w:rPr>
                <w:rFonts w:eastAsia="Helvetica Neue" w:cs="Helvetica Neue" w:ascii="Helvetica Neue" w:hAnsi="Helvetica Neue"/>
              </w:rPr>
              <w:t>, Republic of Belarus</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Number of Power Units</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2</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Type of reactors</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VVER-1200 ( |||+ safety generation )</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Design capacity power units</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2 х 1,200 MW</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Customer</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Belarus NPP PMM</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General Designer</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Atomenergoproekt, JSC</w:t>
            </w:r>
          </w:p>
        </w:tc>
      </w:tr>
      <w:tr>
        <w:trPr>
          <w:trHeight w:val="585" w:hRule="atLeast"/>
        </w:trPr>
        <w:tc>
          <w:tcPr>
            <w:tcW w:w="3802"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General Contractor</w:t>
            </w:r>
          </w:p>
        </w:tc>
        <w:tc>
          <w:tcPr>
            <w:tcW w:w="4929" w:type="dxa"/>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Atomstroyexport, JSC</w:t>
            </w:r>
          </w:p>
        </w:tc>
      </w:tr>
      <w:tr>
        <w:trPr>
          <w:trHeight w:val="855" w:hRule="atLeast"/>
        </w:trPr>
        <w:tc>
          <w:tcPr>
            <w:tcW w:w="8731" w:type="dxa"/>
            <w:gridSpan w:val="2"/>
            <w:tcBorders>
              <w:top w:val="single" w:sz="4" w:space="0" w:color="232323"/>
              <w:left w:val="single" w:sz="4" w:space="0" w:color="232323"/>
              <w:bottom w:val="single" w:sz="4" w:space="0" w:color="232323"/>
              <w:right w:val="single" w:sz="4" w:space="0" w:color="232323"/>
            </w:tcBorders>
          </w:tcPr>
          <w:p>
            <w:pPr>
              <w:pStyle w:val="Normal1"/>
              <w:widowControl w:val="false"/>
              <w:spacing w:lineRule="auto" w:line="240" w:before="0" w:after="0"/>
              <w:rPr>
                <w:rFonts w:ascii="Helvetica Neue" w:hAnsi="Helvetica Neue" w:eastAsia="Helvetica Neue" w:cs="Helvetica Neue"/>
              </w:rPr>
            </w:pPr>
            <w:r>
              <w:rPr>
                <w:rFonts w:eastAsia="Helvetica Neue" w:cs="Helvetica Neue" w:ascii="Helvetica Neue" w:hAnsi="Helvetica Neue"/>
              </w:rPr>
              <w:t>Construction under EPC–Contract (Engineering, procurement and construction) Multi-D is used</w:t>
            </w:r>
          </w:p>
        </w:tc>
      </w:tr>
    </w:tbl>
    <w:p>
      <w:pPr>
        <w:pStyle w:val="Normal1"/>
        <w:keepNext w:val="false"/>
        <w:keepLines w:val="false"/>
        <w:pageBreakBefore w:val="false"/>
        <w:widowControl/>
        <w:pBdr/>
        <w:shd w:val="clear" w:fill="auto"/>
        <w:spacing w:lineRule="auto" w:line="240" w:before="0" w:after="0"/>
        <w:ind w:left="0" w:right="0" w:hanging="0"/>
        <w:jc w:val="left"/>
        <w:rPr>
          <w:rFonts w:ascii="Helvetica Neue" w:hAnsi="Helvetica Neue" w:eastAsia="Helvetica Neue" w:cs="Helvetica Neue"/>
        </w:rPr>
      </w:pPr>
      <w:r>
        <w:rPr>
          <w:rFonts w:eastAsia="Helvetica Neue" w:cs="Helvetica Neue" w:ascii="Helvetica Neue" w:hAnsi="Helvetica Neue"/>
        </w:rPr>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The single-source manufacturer of the key nuclear island equipment for Belarus NPP Unit 2 is Atomenergomash JSC (Machine-Building Division of Rosatom State Corporation).</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Fuel assemblies are manufactured by Rosatom’s Fuel Division (TVEL JSC) at Novosibirsk Chemical Concentrates Plant (NZHK JSC), the enrichment level varies from 1.3 to 4.4%.</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 xml:space="preserve">Belarus NPP Unit 1, which became the first nuclear facility of the newest generation III+ built abroad under Russian technologies, was taken over for commercial operation on June 10, 2021. The share of power generated by the unit is about 20% in the annual power balance of the country. </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On December 22, 2021, nuclear fuel loading in Unit 2 commenced. Acceptance of Belarus NPP Unit 2 for operation is scheduled for autumn 2023.</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Construction of Belarus NPP power units has become the largest energy-related project in the Union State and the basis of Russian-Belorussian interaction, covering the key areas and ensuring energy security of the states. The experience gained in cooperation of relevant agencies from Russia and Belarus allowed us to start developing new activities in various fields of the Republic’s economy, including nuclear medicine, additive and digital technologies, bringing them to a completely new level.</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Belarus NPP, having two VVER-1200 reactors with the total capacity of 2400 MW, is being constructed in Ostrovets (the Republic of Belarus). The Russian Gen III+ design was chosen for the first nuclear power plant in Belarus, which fully complies with the international standards and the safety requirements of the International Atomic Energy Agency (IAEA). On June 10, 2021, the Belarus NPP Unit 1, the first nuclear facility of the latest III+ generation to be built abroad under Russian technologies, was taken over for commercial operation.</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Rosatom State Corporation is recognized as a global leader and the only company in the world to implement the full-scale production of nuclear power plants abroad. In total, 106 nuclear power facilities of the Russian design have already been constructed worldwide, of which 80 are power units equipped with VVER reactors. Presently, Rosatom international order portfolio includes 34 units equipped with VVER reactors that are being delivered at various stages in 11 countries.</w:t>
      </w:r>
    </w:p>
    <w:p>
      <w:pPr>
        <w:pStyle w:val="Normal1"/>
        <w:keepNext w:val="false"/>
        <w:keepLines w:val="false"/>
        <w:pageBreakBefore w:val="false"/>
        <w:widowControl/>
        <w:pBdr/>
        <w:shd w:val="clear" w:fill="auto"/>
        <w:spacing w:lineRule="auto" w:line="240" w:before="0" w:after="200"/>
        <w:ind w:left="0" w:right="0" w:hanging="0"/>
        <w:jc w:val="left"/>
        <w:rPr>
          <w:rFonts w:ascii="Helvetica Neue" w:hAnsi="Helvetica Neue" w:eastAsia="Helvetica Neue" w:cs="Helvetica Neue"/>
        </w:rPr>
      </w:pPr>
      <w:r>
        <w:rPr>
          <w:rFonts w:eastAsia="Helvetica Neue" w:cs="Helvetica Neue" w:ascii="Helvetica Neue" w:hAnsi="Helvetica Neue"/>
        </w:rPr>
        <w:t>Russia is consistently developing international trade and economic relations, focusing on cooperation with friendly countries. Despite external restrictions, implementation of major international projects in the energy sector is being continued. Rosatom and its enterprises are taking an active part in this work.</w:t>
      </w:r>
    </w:p>
    <w:p>
      <w:pPr>
        <w:pStyle w:val="Normal1"/>
        <w:keepNext w:val="false"/>
        <w:keepLines w:val="false"/>
        <w:pageBreakBefore w:val="false"/>
        <w:widowControl/>
        <w:pBdr/>
        <w:shd w:val="clear" w:fill="auto"/>
        <w:spacing w:lineRule="auto" w:line="240" w:before="0" w:after="200"/>
        <w:ind w:left="0" w:right="0" w:hanging="0"/>
        <w:jc w:val="left"/>
        <w:rPr/>
      </w:pPr>
      <w:r>
        <w:rPr>
          <w:rFonts w:eastAsia="Helvetica Neue" w:cs="Helvetica Neue" w:ascii="Helvetica Neue" w:hAnsi="Helvetica Neue"/>
        </w:rPr>
        <w:t xml:space="preserve"> </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imes New Roman">
    <w:charset w:val="01"/>
    <w:family w:val="swiss"/>
    <w:pitch w:val="default"/>
  </w:font>
  <w:font w:name="Arial">
    <w:charset w:val="01"/>
    <w:family w:val="swiss"/>
    <w:pitch w:val="default"/>
  </w:font>
  <w:font w:name="Helvetica Neue">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1">
    <w:name w:val="Heading 1"/>
    <w:basedOn w:val="Normal1"/>
    <w:next w:val="Normal1"/>
    <w:qFormat/>
    <w:pPr>
      <w:keepNext w:val="true"/>
      <w:keepLines/>
      <w:spacing w:lineRule="auto" w:line="276" w:before="400" w:after="120"/>
    </w:pPr>
    <w:rPr>
      <w:b/>
      <w:color w:val="2E75B5"/>
      <w:sz w:val="32"/>
      <w:szCs w:val="32"/>
    </w:rPr>
  </w:style>
  <w:style w:type="paragraph" w:styleId="2">
    <w:name w:val="Heading 2"/>
    <w:basedOn w:val="Normal1"/>
    <w:next w:val="Normal1"/>
    <w:qFormat/>
    <w:pPr>
      <w:keepNext w:val="true"/>
      <w:keepLines/>
      <w:spacing w:lineRule="auto" w:line="276" w:before="400" w:after="120"/>
    </w:pPr>
    <w:rPr>
      <w:color w:val="2E75B5"/>
      <w:sz w:val="32"/>
      <w:szCs w:val="32"/>
    </w:rPr>
  </w:style>
  <w:style w:type="paragraph" w:styleId="3">
    <w:name w:val="Heading 3"/>
    <w:basedOn w:val="Normal1"/>
    <w:next w:val="Normal1"/>
    <w:qFormat/>
    <w:pPr>
      <w:keepNext w:val="true"/>
      <w:spacing w:lineRule="auto" w:line="240" w:before="0" w:after="0"/>
      <w:jc w:val="center"/>
    </w:pPr>
    <w:rPr>
      <w:rFonts w:ascii="Times New Roman" w:hAnsi="Times New Roman" w:eastAsia="Times New Roman" w:cs="Times New Roman"/>
      <w:b/>
      <w:i/>
      <w:sz w:val="20"/>
      <w:szCs w:val="20"/>
    </w:rPr>
  </w:style>
  <w:style w:type="paragraph" w:styleId="4">
    <w:name w:val="Heading 4"/>
    <w:basedOn w:val="Normal1"/>
    <w:next w:val="Normal1"/>
    <w:qFormat/>
    <w:pPr>
      <w:keepNext w:val="true"/>
      <w:keepLines/>
      <w:spacing w:lineRule="auto" w:line="240" w:before="40" w:after="0"/>
    </w:pPr>
    <w:rPr>
      <w:rFonts w:ascii="Calibri" w:hAnsi="Calibri" w:eastAsia="Calibri" w:cs="Calibri"/>
      <w:i/>
      <w:color w:val="2E75B5"/>
    </w:rPr>
  </w:style>
  <w:style w:type="paragraph" w:styleId="5">
    <w:name w:val="Heading 5"/>
    <w:basedOn w:val="Normal1"/>
    <w:next w:val="Normal1"/>
    <w:qFormat/>
    <w:pPr>
      <w:keepNext w:val="true"/>
      <w:keepLines/>
      <w:spacing w:lineRule="auto" w:line="276" w:before="240" w:after="80"/>
    </w:pPr>
    <w:rPr>
      <w:rFonts w:ascii="Arial" w:hAnsi="Arial" w:eastAsia="Arial" w:cs="Arial"/>
      <w:color w:val="666666"/>
    </w:rPr>
  </w:style>
  <w:style w:type="paragraph" w:styleId="6">
    <w:name w:val="Heading 6"/>
    <w:basedOn w:val="Normal1"/>
    <w:next w:val="Normal1"/>
    <w:qFormat/>
    <w:pPr>
      <w:keepNext w:val="true"/>
      <w:keepLines/>
      <w:spacing w:lineRule="auto" w:line="276" w:before="240" w:after="80"/>
    </w:pPr>
    <w:rPr>
      <w:rFonts w:ascii="Arial" w:hAnsi="Arial" w:eastAsia="Arial" w:cs="Arial"/>
      <w:i/>
      <w:color w:val="666666"/>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ru-RU" w:eastAsia="zh-CN" w:bidi="hi-IN"/>
    </w:rPr>
  </w:style>
  <w:style w:type="paragraph" w:styleId="Style13">
    <w:name w:val="Title"/>
    <w:basedOn w:val="Normal1"/>
    <w:next w:val="Normal1"/>
    <w:qFormat/>
    <w:pPr>
      <w:keepNext w:val="true"/>
      <w:keepLines/>
      <w:spacing w:lineRule="auto" w:line="276" w:before="0" w:after="60"/>
    </w:pPr>
    <w:rPr>
      <w:rFonts w:ascii="Arial" w:hAnsi="Arial" w:eastAsia="Arial" w:cs="Arial"/>
      <w:sz w:val="52"/>
      <w:szCs w:val="52"/>
    </w:rPr>
  </w:style>
  <w:style w:type="paragraph" w:styleId="Style14">
    <w:name w:val="Subtitle"/>
    <w:basedOn w:val="Normal1"/>
    <w:next w:val="Normal1"/>
    <w:qFormat/>
    <w:pPr>
      <w:keepNext w:val="true"/>
      <w:keepLines/>
      <w:pBdr/>
      <w:spacing w:lineRule="auto" w:line="276" w:before="0" w:after="320"/>
    </w:pPr>
    <w:rPr>
      <w:rFonts w:ascii="Arial" w:hAnsi="Arial" w:eastAsia="Arial" w:cs="Arial"/>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LibreOffice/7.5.1.2$Windows_X86_64 LibreOffice_project/fcbaee479e84c6cd81291587d2ee68cba099e129</Application>
  <AppVersion>15.0000</AppVersion>
  <Pages>2</Pages>
  <Words>450</Words>
  <Characters>2543</Characters>
  <CharactersWithSpaces>2970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2023-11-03T18:00:52Z</dcterms:modified>
  <cp:revision>1</cp:revision>
  <dc:subject/>
  <dc:title/>
</cp:coreProperties>
</file>