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Строительство АЭС «Руппур» в Народной Республике Бангладеш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>Расположение АЭС: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 xml:space="preserve"> близ п. Руппур, провинция Пабна, Народная Республика Бангладеш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>Тип реактора: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 xml:space="preserve"> ВВЭР-1200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>Количество энергоблоков: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 xml:space="preserve"> 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 xml:space="preserve">Генеральный проектировщик: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>АО «Атомэнергопроект»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>Генеральный подрядчик: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 xml:space="preserve"> АО «Атомстройэкспорт»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20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>Заказчик и оператор АЭС: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EFEFE" w:val="clear"/>
          <w:vertAlign w:val="baseline"/>
        </w:rPr>
        <w:t xml:space="preserve"> Комиссия по атомной энергии Бангладеш (BAEC)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АЭС «Руппур» с двумя реакторами ВВЭР-1200 суммарной мощностью 2400 МВт сооружается по российскому проекту в 160 км от столицы Бангладеш, города Дакки, в соответствии с генеральным контрактом от 25 декабря 2015 года. Для первой АЭС Бангладеш выбран российский проект с реакторами ВВЭР-1200. Это эволюционный проект поколения III+, который полностью удовлетворяет международным требованиям безопасности.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2017 году Бангладешский орган регулирования атомной энергии (BAERA) выдал Комиссии по атомной энергии Бангладеш (BAEC) лицензию на сооружение АЭС «Руппур». 30 ноября 2017 года состоялась торжественная церемония заливки первого бетона в основание энергоблока № 1, а в июле 2018 года первый бетон залили и для второго блока станции.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Сейчас сооружение АЭС «Руппур» в Бангладеш находится в активной фазе. Совместно с бангладешскими коллегами «Росатом» вплотную подошел к ключевой вехе проекта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5 октября 2023 года на площадку будет завезена первая партия свежего ядерного топлива (СЯТ). С завозом топлива АЭС «Руппур» превратится в ядерный объект, а Народная Республика Бангладеш получит статус страны, обладающей мирными ядерными технологиями.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Информация о реакторе ВВЭР-1200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«Сердцем» энергоблоков АЭС Руппур станут флагманские реакторы Росатома ВВЭР-1200, которые уже доказали свою эффективность и надежность при эксплуатации референтных энергоблоков в России. Сейчас эксплуатируются уже пять энергоблоков на базе таких реакторов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четыре в России и один в Республике Беларусь. Активное строительство АЭС по российской технологии идет также в Бангладеш, Венгрии, Египте, Турции и Китае.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Блоки на основе реакторов ВВЭР-1200 относятся к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поколени</w:t>
      </w:r>
      <w:r>
        <w:rPr>
          <w:rFonts w:eastAsia="Times New Roman" w:cs="Times New Roman" w:ascii="Times New Roman" w:hAnsi="Times New Roman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III+, новейшему классу безопасности III+ и соответствуют всем постфукусимским требованиям по безопасности: они сочетают в себе активные и пассивные системы защиты, делающие АЭС максимально устойчивой к внешним и внутренним воздействиям. Одним из примеров таких систем является «ловушка расплава»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это один из главных элементов пассивной системы безопасности энергоблока, уникальное ноу-хау российских атомщиков, которое обеспечивает безопасность для окружающей среды и человека при любых сценариях работы АЭС. На этапах проектирования, сооружения и эксплуатации также предусмотрен широкий круг технических и организационных мер, направленных на предотвращение развития нештатных ситуаций при любых сценариях и их сочетаниях.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Жизненный цикл атомной станции составляет 60 лет с возможностью продления срока работы еще на 20 лет.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Основные вехи строительства АЭС «Руппур»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24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42"/>
        <w:gridCol w:w="7999"/>
      </w:tblGrid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2020 год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ноябре на площадке АЭС «Руппур» было завершено бетонирование 4-го яруса внутренней защитной оболочки (ВЗО) здания реактора блока № 1. Также в ноябре на площадку были доставлены основные компоненты оборудования для блока № 1, изготовленные Волгодонским филиалом АЭМ-технологии, такие как: корпус реактора ВВЭР-1200, четыре парогенератора и полярный кран. Все компоненты были доставлены на площадку АЭС из России морем, а затем по реке Падма — через речной порт вблизи АЭС «Руппур», который был запущен в работу в 2020 году. 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2021 год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феврале в реакторном здании энергоблока № 1 на рельсовые пути был установлен полярный кран, который после испытаний стал использоваться для монтажа крупногабаритного и тяжеловесного оборудования. В конце июля был завершен монтаж металлоконструкций купола ВЗО первого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апреле было завершено бетонирование 5-го яруса ВЗО энергоблока № 1.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июне было завершено бетонирование 4-го яруса ВЗО энергоблока № 2.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августе в Бангладеш прибыло оборудование для энергоблока № 2 АЭС «Руппур»: корпус реактора ВВЭР-1200 и четыре парогенератора.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октябре состоялась торжественная церемония установки корпуса реактора энергоблока № 1. В ноябре 2021 года была завершена установка всех четыр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х парогенераторов.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ноябре в реакторном здании энергоблока № 2 на рельсовые пути был установлен полярный кран. В декабре 2021 года было завершено бетонирование 5-го яруса ВЗО второго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декабре были начаты работы по сварке Главного Циркуляционного трубопровода (ГЦТ), которые завершились в конце февраля 2022 года.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2022 год </w:t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феврале завершена установка мостовых кранов в проектное положение в машинном зале энергоблока № 1. В апреле 2022 года завершена установка статора генератора на штатное место.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конце апреля в проектное положение был смонтирован деаэратор, а также завершилось бетонирование фундамента турбоагрегата в машинном зале энергоблока № 2.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апреле на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восемь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месяцев раньше срока завершились основные бетонные работы при сооружении вспомогательного реакторного здания 10UKC, в котором сосредоточены устройства контроля и управления технологическими процессами первого энергоблока. Объект входит в состав «ядерного острова».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июне в реакторном здании энергоблока № 2 АЭС «Руппур» специалисты филиала АО «Энергоспецмонтаж» (входит в Инжиниринговый дивизион Росатома) в Народной Республике Бангладеш завершили монтаж системы аварийного охлаждения активной зоны реактора (САОЗ).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июне была завершена установка металлоконструкций купола внутренней защитной оболочки (ВЗО) в здании реактора энергоблока № 2. В проектное положение на отметке 51,7 м была установлена верхняя часть купола весом 194 т и диаметром 35,7 м, и теперь высота сооружения составляет 60,5 м.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том же месяце было завершено бетонирование купола ВЗО энергоблока № 1. Работы выполнялись специалистами филиала ООО «Трест РосСЭМ» (входит в Инжиниринговый дивизион Росатома). Всего на конструкцию высотой 17,6 м и диаметром основания 42,8 м было уложено более 3,2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4D5156"/>
                <w:sz w:val="24"/>
                <w:szCs w:val="24"/>
                <w:highlight w:val="white"/>
              </w:rPr>
              <w:t>м³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бетона.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августе на площадке началось бетонирование купола ВЗО здания реактора энергоблока № 2 (на сегодняшний забетонировано 9 из 16 ярусов). Завершение работ по бетонированию купола ВЗО в мае 2023 года.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сентябре завершена установка корпуса реактора в проектное положение на энергоблоке № 2.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том же месяце завершен монтаж мостовых кранов в машинном зале энергоблока № 2.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октябре на учебно-тренировочном центре на станции началось обучение персонала BAEC.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том же месяце в машинном зале энергоблока № 2 смонтирован статор генератора, а в реакторном здании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—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парогенераторы.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В ноябре на реакторном здании первого энергоблока был смонтирован купол наружной защитной оболочки (НЗО).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конце месяца стартовала сварка главного циркуляционного трубопровода на энергоблоке № 2.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декабре на втором энергоблоке завершили монтаж упорного кольца.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Компания «Трест РосСЭМ» приступила к сборке дефлектора СПОТ для первого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На первом энергоблоке начался пролив систем безопасности на открытый реактор.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На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три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месяца раньше срока завершились основные бетонные работы при сооружении вспомогательного реакторного здания.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2023 год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январе приступили к монтажу турбины в машзале первого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начале завершили возведение оболочки башенной испарительной градирни до отм. +175,000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этом же месяце на втором энергоблоке завершилась сварка главного циркуляционного трубопровода (ГЦТ).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конце февраля завершили возведение оболочки башенной испарительной градирни до отм. +175,000.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феврале завершили установку двух мостовых кранов в здании хранилища ядерного топлива.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начале марта завершили установку транспортного шлюза в реакторном здании первого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этом же месяце на 45 дней раньше срока завершили бетонирование купола НЗО в реакторном здании первого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этом же месяце завершили монтаж дефлектора системы пассивного отвода тепла (СПОТ) в реакторном здании первого энергоблока.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этом же месяце в реакторном здании энергоблока № 2 завершили монтаж компенсатора давления.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апреле в реакторном здании энергоблока № 2 завершили монтаж емкостей СПЗАЗ (8 ед.).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мае завершили возведение оболочки башенной испарительной градирни до отм. +175,000.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этом же месяце было завершено бетонирование купола ВЗО в реакторном здании энергоблока № 2.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июне завершили возведение оболочки башенной испарительной градирни до отм. +175,000.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17 июля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FEFEFE" w:val="clear"/>
                <w:vertAlign w:val="baseline"/>
              </w:rPr>
              <w:t>Комиссия по атомной энергии Бангладеш (BAEC) получила лицензию на завоз ядерного топлива для АЭС «Руппур».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конце июля завершили монтаж вентиляционной трубы в реакторном здании энергоблока № 1.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августе завершили монтаж теплообменников СПОТ (8 ед.) в реакторном здании энергоблока № 1, а также завершили монтаж крана транспортного портала.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В сентябре на втором энергоблоке в рекордный срок (два дня) завершен монтаж купола наружной защитной оболочки.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Персонал и развитие местных сообществ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пике сооружения в 2021 году на площадке АЭС «Руппур» работали более 30 тыс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сотрудников. Из них 6 тыс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приехали работать на площадку АЭС «Руппур» из-за рубежа, остальные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местные жители (более 80 % местных работников на пике сооружения в 2021 году).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настоящее время над реализацией проекта работа</w:t>
      </w:r>
      <w:r>
        <w:rPr>
          <w:rFonts w:eastAsia="Times New Roman" w:cs="Times New Roman" w:ascii="Times New Roman" w:hAnsi="Times New Roman"/>
          <w:sz w:val="24"/>
          <w:szCs w:val="24"/>
        </w:rPr>
        <w:t>ю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 более 23 тыс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человек.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Также для участия в проекте сооружения АЭС «Руппур» было привлечено более 60 местных компаний.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 2021 году на площадке сооружения АЭС «Руппур» открылся учебно-тренировочный центр. Он предназначен для подготовки эксплуатационного персонала различных категорий и по своей технической оснащенности не имеет аналогов. Российские эксперты разработали все учебно-методические программы, которые в дальнейшем позволят бангладешской стороне самостоятельно готовить персонал. Всего планируется обучить более 50 групп бенгальцев.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«Росатом» участвует в общественной жизни региона, а также работает над повышением осведомленности о безопасности ядерных технологий и их использовании в различных сферах жизни. В столице страны Дакке действует Информационный центр по атомной энергии: там регулярно проводятся лекции экспертов, викторины, научные игры и другие мероприятия.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Инжиниринговый дивизион Госкорпорации «Росатом»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АО «Атомэнергопроект» (Московский, Нижегородский, Санкт-Петербургский филиалы </w:t>
      </w:r>
      <w:r>
        <w:rPr>
          <w:rFonts w:eastAsia="Times New Roman" w:cs="Times New Roman" w:ascii="Times New Roman" w:hAnsi="Times New Roman"/>
          <w:sz w:val="24"/>
          <w:szCs w:val="24"/>
        </w:rPr>
        <w:t>—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проектные институты, филиалы в России и за рубежом, изыскательские филиалы) и дочерние строительные организации. Инжиниринговый дивизион занимает первое место в мире по портфелю заказов и количеству одновременно сооружаемых АЭС в разных странах мира. Порядка 80 % выручки дивизиона составляют зарубежные проекты. 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</w:t>
      </w:r>
      <w:r>
        <w:rPr>
          <w:rFonts w:eastAsia="Times New Roman" w:cs="Times New Roman" w:ascii="Times New Roman" w:hAnsi="Times New Roman"/>
          <w:sz w:val="24"/>
          <w:szCs w:val="24"/>
        </w:rPr>
        <w:t>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 </w:t>
      </w:r>
      <w:hyperlink r:id="rId2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563C1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www.ase-ec.ru</w:t>
        </w:r>
      </w:hyperlink>
    </w:p>
    <w:sectPr>
      <w:type w:val="nextPage"/>
      <w:pgSz w:w="11906" w:h="16838"/>
      <w:pgMar w:left="1440" w:right="1440" w:gutter="0" w:header="0" w:top="1276" w:footer="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Style16"/>
    <w:qFormat/>
    <w:pPr>
      <w:suppressAutoHyphens w:val="true"/>
      <w:spacing w:lineRule="atLeast" w:line="1" w:beforeAutospacing="1" w:afterAutospacing="1"/>
      <w:textAlignment w:val="top"/>
      <w:outlineLvl w:val="1"/>
    </w:pPr>
    <w:rPr>
      <w:rFonts w:ascii="Calibri" w:hAnsi="Calibri" w:eastAsia="Times New Roman" w:cs="Calibri"/>
      <w:b/>
      <w:bCs/>
      <w:w w:val="100"/>
      <w:position w:val="0"/>
      <w:sz w:val="36"/>
      <w:sz w:val="36"/>
      <w:szCs w:val="36"/>
      <w:effect w:val="none"/>
      <w:vertAlign w:val="baseline"/>
      <w:em w:val="none"/>
      <w:lang w:val="en-GB" w:eastAsia="en-GB" w:bidi="ar-SA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Основной шрифт абзаца"/>
    <w:qFormat/>
    <w:rPr>
      <w:w w:val="100"/>
      <w:position w:val="0"/>
      <w:sz w:val="20"/>
      <w:effect w:val="none"/>
      <w:vertAlign w:val="baseline"/>
      <w:em w:val="none"/>
    </w:rPr>
  </w:style>
  <w:style w:type="character" w:styleId="21">
    <w:name w:val="Заголовок 2 Знак"/>
    <w:qFormat/>
    <w:rPr>
      <w:rFonts w:ascii="Calibri" w:hAnsi="Calibri" w:eastAsia="Times New Roman" w:cs="Calibri"/>
      <w:b/>
      <w:bCs/>
      <w:w w:val="100"/>
      <w:position w:val="0"/>
      <w:sz w:val="36"/>
      <w:sz w:val="36"/>
      <w:szCs w:val="36"/>
      <w:effect w:val="none"/>
      <w:vertAlign w:val="baseline"/>
      <w:em w:val="none"/>
      <w:lang w:eastAsia="en-GB"/>
    </w:rPr>
  </w:style>
  <w:style w:type="character" w:styleId="Style9">
    <w:name w:val="Гиперссылка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-">
    <w:name w:val="Hyperlink"/>
    <w:rPr>
      <w:color w:val="000080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Calibri" w:hAnsi="Calibri"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Style15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6">
    <w:name w:val="Обычный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en-GB" w:bidi="ar-SA"/>
    </w:rPr>
  </w:style>
  <w:style w:type="paragraph" w:styleId="Style17">
    <w:name w:val="Обычный (веб)"/>
    <w:basedOn w:val="Style16"/>
    <w:qFormat/>
    <w:pPr>
      <w:suppressAutoHyphens w:val="true"/>
      <w:spacing w:lineRule="atLeast" w:line="1" w:beforeAutospacing="1" w:afterAutospacing="1"/>
      <w:textAlignment w:val="top"/>
    </w:pPr>
    <w:rPr>
      <w:rFonts w:ascii="Calibri" w:hAnsi="Calibri" w:cs="Calibri"/>
      <w:w w:val="100"/>
      <w:position w:val="0"/>
      <w:sz w:val="22"/>
      <w:sz w:val="22"/>
      <w:szCs w:val="22"/>
      <w:effect w:val="none"/>
      <w:vertAlign w:val="baseline"/>
      <w:em w:val="none"/>
      <w:lang w:val="en-GB" w:eastAsia="en-GB" w:bidi="ar-SA"/>
    </w:rPr>
  </w:style>
  <w:style w:type="paragraph" w:styleId="Style18">
    <w:name w:val="Без интервала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en-GB" w:bidi="ar-SA"/>
    </w:rPr>
  </w:style>
  <w:style w:type="paragraph" w:styleId="Style19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20">
    <w:name w:val="Нет списка"/>
    <w:qFormat/>
  </w:style>
  <w:style w:type="table" w:default="1" w:styleId="TableNormal">
    <w:name w:val="Table Normal"/>
  </w:style>
  <w:style w:type="table" w:styleId="Обычнаятаблица">
    <w:name w:val="Обычная таблица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Сеткатаблицы">
    <w:name w:val="Сетка таблицы"/>
    <w:basedOn w:val="Обычнаятаблица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gCEGHDlxlrSyOEszw6ig5UaFBg==">CgMxLjAikAIKC0FBQUE2ZGJUVDZnEtoBCgtBQUFBNmRiVFQ2ZxILQUFBQTZkYlRUNmcaDQoJdGV4dC9odG1sEgAiDgoKdGV4dC9wbGFpbhIAKhsiFTEwNDY5MzgyMTIyOTc1NjQxMjE1MSgAOAAwke7v1q8xOPPz79avMUo6CiRhcHBsaWNhdGlvbi92bmQuZ29vZ2xlLWFwcHMuZG9jcy5tZHMaEsLX2uQBDBoKCgYKABAUGAAQAVoMcGNlaXQxYnVxNzl3cgIgAHgAggEUc3VnZ2VzdC5pbjBtNGw2dHB1Zm+aAQYIABAAGACwAQC4AQAYke7v1q8xIPPz79avMTAAQhRzdWdnZXN0LmluMG00bDZ0cHVmbzgAaiAKE3N1Z2dlc3QubDBnazNtMTdoY3YSCUFuZHJleSBTLmohChRzdWdnZXN0Lmpoc3hvbGlreHdiZRIJQW5kcmV5IFMuaiEKFHN1Z2dlc3QuMWswdzhtcHFybXRyEglBbmRyZXkgUy5qIQoUc3VnZ2VzdC5sbHB6OXhydnVtbm0SCUFuZHJleSBTLmohChRzdWdnZXN0Lng5ejF4bGVjdDVtMBIJQW5kcmV5IFMuaiEKFHN1Z2dlc3QuZzgza3dram5xd2FpEglBbmRyZXkgUy5qIQoUc3VnZ2VzdC4zdTJoaHVwNGdsazQSCUFuZHJleSBTLmohChRzdWdnZXN0Lm9udHl6cW1ncWdmbhIJQW5kcmV5IFMuaiEKFHN1Z2dlc3QucWVwNGcwN3p4ZnFtEglBbmRyZXkgUy5qIQoUc3VnZ2VzdC52cmZqNTVvZTJjamESCUFuZHJleSBTLmohChRzdWdnZXN0LmF0cXpjbXJlenRyYRIJQW5kcmV5IFMuaiEKFHN1Z2dlc3QuYzlidXowYnpnYW1qEglBbmRyZXkgUy5qIQoUc3VnZ2VzdC53dzlmamMzazV5ejQSCUFuZHJleSBTLmohChRzdWdnZXN0Lm14OHdtZ3drd3A1aBIJQW5kcmV5IFMuaiEKFHN1Z2dlc3QueHMybjY2c2h1b3BsEglBbmRyZXkgUy5qIQoUc3VnZ2VzdC54YWZyZjYxMThiN3MSCUFuZHJleSBTLmohChRzdWdnZXN0LnYyejhvYTlob2RmMBIJQW5kcmV5IFMuaiEKFHN1Z2dlc3QubG56bjB1dWpxMXhoEglBbmRyZXkgUy5qIAoTc3VnZ2VzdC5laG9uN2VuOGowbhIJQW5kcmV5IFMuaiAKE3N1Z2dlc3QuMzl4YjlhYnUzMmwSCUFuZHJleSBTLmohChRzdWdnZXN0LmdsenIza3R6M241aRIJQW5kcmV5IFMuaiEKFHN1Z2dlc3QudjY2bGdxYXBoMGEyEglBbmRyZXkgUy5qIQoUc3VnZ2VzdC50bjZ3eWsyN2Z1MmoSCUFuZHJleSBTLmohChRzdWdnZXN0Lm9ubjQyb3NibmZoMRIJQW5kcmV5IFMuaiEKFHN1Z2dlc3QubGNxc3h6cXZwa2kyEglBbmRyZXkgUy5qIQoUc3VnZ2VzdC5kbnMxaDVnaDJ1N3MSCUFuZHJleSBTLmohChRzdWdnZXN0Lnk1Z2l6cHJveWE4MhIJQW5kcmV5IFMuaiEKFHN1Z2dlc3QuYm9qOWp3NGI4dTlrEglBbmRyZXkgUy5qIQoUc3VnZ2VzdC44N2xjeHJkd2I5aWkSCUFuZHJleSBTLmohChRzdWdnZXN0LjQ3ZmQ0eG9nZ3N5chIJQW5kcmV5IFMuaiEKFHN1Z2dlc3QuaW80d2l0bjVndTNwEglBbmRyZXkgUy5qIQoUc3VnZ2VzdC5heWtmZG90MWpvY2sSCUFuZHJleSBTLmohChRzdWdnZXN0LmF5OWUwMXg0NGdiehIJQW5kcmV5IFMuaiEKFHN1Z2dlc3QuOGZrMzIxYWE5b2h1EglBbmRyZXkgUy5qIQoUc3VnZ2VzdC5kd21sZzV4MDRpdGESCUFuZHJleSBTLmohChRzdWdnZXN0Ljc1dmduN29yNDBveBIJQW5kcmV5IFMuaiEKFHN1Z2dlc3QucGttNmV3ZHl3eTFnEglBbmRyZXkgUy5qIQoUc3VnZ2VzdC5hbDdobDFhdmp2bTQSCUFuZHJleSBTLmohChRzdWdnZXN0LnZ5eDh3czE1anoxYhIJQW5kcmV5IFMuaiEKFHN1Z2dlc3QuOGhseTBybXc3bnYzEglBbmRyZXkgUy5qIQoUc3VnZ2VzdC5nN2t6emlvZmNlNHkSCUFuZHJleSBTLmohChRzdWdnZXN0LnU5bWs5ZzhjcHlpOBIJQW5kcmV5IFMuaiAKE3N1Z2dlc3QubmJkdG1pbXMxM2QSCUFuZHJleSBTLmohChRzdWdnZXN0LjR3dXV1dWZqdTQ2eBIJQW5kcmV5IFMuaiEKFHN1Z2dlc3QuaW4wbTRsNnRwdWZvEglBbmRyZXkgUy5qIQoUc3VnZ2VzdC5vNGxhdWo1ZWp4OTkSCUFuZHJleSBTLmohChRzdWdnZXN0LnZua28yemtzcDc5ZxIJQW5kcmV5IFMuaiAKE3N1Z2dlc3QuZHZ6cmlsNWR3Z2oSCUFuZHJleSBTLmogChNzdWdnZXN0Lm5razdrNWR2eHYwEglBbmRyZXkgUy5qIQoUc3VnZ2VzdC50emJybHB3MWZjM3ASCUFuZHJleSBTLmohChRzdWdnZXN0LnltYjA1NWY5NGtwMRIJQW5kcmV5IFMuaiEKFHN1Z2dlc3QuZ2JwczFoZGd6NG0zEglBbmRyZXkgUy5qIQoUc3VnZ2VzdC5rbnB4ZGkzN3hqMmkSCUFuZHJleSBTLmohChRzdWdnZXN0LnRsajZraDhjMWJ3dRIJQW5kcmV5IFMuaiEKFHN1Z2dlc3Qub3F0MjBieGNzdHN2EglBbmRyZXkgUy5qIQoUc3VnZ2VzdC5rczIxcnozdGpzdnESCUFuZHJleSBTLmohChRzdWdnZXN0Lncybml5NmxpODR3ahIJQW5kcmV5IFMuciExVFdyMDI1QkJIMGJsN3IzYkhHY3AxQ1lpcTE2d2RMS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1479</Words>
  <Characters>9472</Characters>
  <CharactersWithSpaces>10894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2023-09-28T06:49:00Z</dcterms:created>
  <dc:creator>KSENIIA ELKINA</dc:creator>
  <dc:description/>
  <dc:language>ru-RU</dc:language>
  <cp:lastModifiedBy/>
  <cp:revision>0</cp:revision>
  <dc:subject/>
  <dc:title/>
</cp:coreProperties>
</file>