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rPr>
          <w:rFonts w:ascii="Calibri" w:hAnsi="Calibri" w:eastAsia="Calibri" w:cs="Calibri"/>
          <w:b/>
          <w:color w:val="222222"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>«Росэнергоатом» внедрил информационную систему управления бюджетированием на базе российского программного обеспечения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Концерн «Росэнергоатом» (входит в Электроэнергетический дивизион Госкорпорации «Росатом») завершил внедрение импортонезависимой информационной системы управления бюджетированием (условное обозначение: ИСУБ, Система).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Проект стал частью программы импортозамещения Концерна, в результате которого система, ранее реализованная на базе SAP BPC, была замещена системой на основе отечественного решения «Форсайт. Бюджетирование». Продукт «Форсайт. Бюджетирование» включен в реестр отечественного ПО и совместим с российскими СУБД и ОС. Система предназначена для автоматизации процессов сметного планирования и формирования управленческой отчетности, повышения эффективности взаимодействия структурных подразделений Центрального аппарата и филиалов в процессе формирования, корректировки и ежемесячного контроля исполнения смет доходов и расходов АО «Концерн Росэнергоатом», а также для формирования исходных данных для бизнес-плана на среднесрочный период. В рамках проекта были адаптированы к новой системе и актуализированы более 200 бюджетных форм и более 400 алгоритмов расчетов. Объем данных годового цикла планирования и отчетности в системе составляет ~30 ГБ, глубина хранения ретроспективных данных составляет 10 лет.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«Созданная система полностью воспроизводит функционал процессов планирования и бюджетирования, сформированный в течение более чем 10 лет эксплуатации SAP BPC, а также включает новые инструменты, которые способствуют дальнейшему совершенствованию процедур планирования, анализа и прогнозирования затрат филиалов, центрального аппарата и центров ответственности АО «Концерн Росэнергоатом», — прокомментировала Людмила Демидова, директор Департамента экономики и контроллинга АО «Концерна Росэнергоатом».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«В рамках обеспечения технологической независимости одной из самых сложных и масштабных задач для крупных российских компаний является импортозамещение продуктов SAP. Мы приняли решение заменять функциональность SAP по частям. Сейчас, по завершении проекта, мы можем с уверенностью сказать, что решение «Форсайт» является достойной альтернативой зарубежному программному обеспечению для решения задач бюджетного планирования как в части инструментальных возможностей, так и по стоимости приобретения и владения», — подчеркнул Олег Шальнов, директор Департамента управления ИТ-проектами и интеграцией Концерна.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rPr>
          <w:rFonts w:ascii="Calibri" w:hAnsi="Calibri" w:eastAsia="Calibri" w:cs="Calibri"/>
          <w:b/>
          <w:color w:val="222222"/>
          <w:sz w:val="24"/>
          <w:szCs w:val="24"/>
        </w:rPr>
      </w:pPr>
      <w:r>
        <w:rPr>
          <w:rFonts w:eastAsia="Calibri" w:cs="Calibri" w:ascii="Calibri" w:hAnsi="Calibri"/>
          <w:b/>
          <w:color w:val="222222"/>
          <w:sz w:val="24"/>
          <w:szCs w:val="24"/>
        </w:rPr>
        <w:t xml:space="preserve">Справка: 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Система удачно прошла опытно-промышленную эксплуатацию, переведена в промышленную эксплуатацию на всех объектах внедрения и передана на поддержку в АО «Гринатом» (отраслевой ИТ-интегратор Госкорпорации «Росатом»). Специалисты АО «Гринатом», ранее занимавшиеся сопровождением SAP BPC, принимали активное участие в работах с первого дня проекта. В настоящее время в АО «Гринатом» сформирован Центр компетенций по системам автоматизации предприятий для сопровождения и развития импортозамещенных систем, включая ИСУБ.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Сегодня Российская промышленность наращивает выпуск необходимой техники и оборудования, укрепляя технологический суверенитет страны. На смену импортным комплектующим приходят российские разработки, укрепляется технологическое партнерство с дружественными иностранными компаниями.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rPr>
          <w:rFonts w:ascii="Calibri" w:hAnsi="Calibri" w:eastAsia="Calibri" w:cs="Calibri"/>
          <w:color w:val="222222"/>
          <w:sz w:val="24"/>
          <w:szCs w:val="24"/>
        </w:rPr>
      </w:pPr>
      <w:r>
        <w:rPr>
          <w:rFonts w:eastAsia="Calibri" w:cs="Calibri" w:ascii="Calibri" w:hAnsi="Calibri"/>
          <w:color w:val="222222"/>
          <w:sz w:val="24"/>
          <w:szCs w:val="24"/>
        </w:rPr>
        <w:t>Энергетика является основой поступательного социально-экономического развития страны, снабжения промышленности и граждан. Российский топливно-энергетический комплекс продолжает реализацию новых проектов и плановое обновление мощностей. Эта работа осуществляется с учетом современных трендов цифровизации и замещения импортного оборудования.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415</Words>
  <Characters>3247</Characters>
  <CharactersWithSpaces>3661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