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b/>
          <w:sz w:val="24"/>
          <w:szCs w:val="24"/>
        </w:rPr>
        <w:t>На заседании Общественного совета Росатома обсудили кадровую политику атомной отрасли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Госкорпорации «Росатом» состоялось очередное заседание Общественного совета. Оно прошло под председательством первого заместителя генерального директора по развитию новых продуктов атомной энергетики, заместителя председателя Общественного совета Госкорпорации «Росатом» Александра Локшина.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На заседании был рассмотрен доклад заместителя генерального директора по персоналу Татьяны Терентьевой о кадровой политике атомной отрасли, о важности улучшения качества образования и запуска технологического обучения по ключевым направлениям деятельности Росатома. «В Росатоме мы не только обучаем и переобучаем действующих сотрудников, мы создаем условия для непрерывного комплексного развития личности, начиная с самого раннего возраста. Наша экосистема раскрытия кадрового потенциала охватывает учащихся детских садов, школ, опорных колледжей и вузов, жителей городов присутствия. Будущие работники Росатома проходят большой путь через осознанный выбор будущей профессии. На этом пути они узнают о перспективах и возможностях, которые они получают, приходя в Росатом, а уже в Госкорпорации наращивают сквозные компетенции и осваивают новые специальности, что позволяет им прожить несколько профессиональных жизней и самореализоваться в разных сферах в контуре отрасли. И конечно, сотрудники проникаются ценностями Росатома и нашей корпоративной культурой. Такой подход дает им практически неограниченные карьерные возможности, а нам — высокопрофессиональных и мотивированных сотрудников, которые любят и ценят свою работу», — сказала она.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Также был рассмотрен доклад генерального директора АО «РХК» Игоря Обрубова о современных медицинских изотопных технологиях. Было отмечено, что сегодня Росатом совместно с профильными ведомствами успешно решает государственные задачи по обеспечению технологического суверенитета отечественной медицины, доступности для граждан высокоэффективных современных методов лечения.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Участники заседания также заслушали доклад члена Общественного совета Олега Муратова о результатах проведенного 18–20 июля 2023 года в Мурманске Международного семинара о проблемах реабилитации площадок ядерного наследия. В рамках мероприятия российские и зарубежные эксперты обсудили актуальное состояние объектов ядерного наследия на северо-западе России, опыт работы с радиоактивными отходами (РАО), отработанным ядерным топливом (ОЯТ) и вывод из эксплуатации ядерно и радиационно опасных объектов (ВЭ ЯРОО).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Много времени было уделено дискуссии о необходимости наращивания кадрового потенциала отрасли, создания социальной инфраструктуры для запуска новых производств, полноценной интеграции персонала приобретенных компаний.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Общественный совет Госкорпорации «Росатом» является постоянно действующим совещательно-консультативным органом общественного контроля. Общественный совет обеспечивает взаимодействие Росатома и предприятий отрасли с общественными объединениями, гражданами Российской Федерации, органами региональной власти и местного самоуправления, профессиональными ассоциациями в целях выработки рекомендаций для принятия решений в области использования атомной энергии и развития атомной энергетики и промышленности, содействует обмену мнениями по вопросам реализации государственной политики в области использования атомной энергии, охраны окружающей среды, развития территорий присутствия организаций Госкорпорации «Росатом».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Госкорпорация «Росатом» последовательно реализует шаги по информированию общественности о своей деятельности. Атомщики уделяют большое внимание мероприятиям по охране окружающей среды и реабилитации загрязненных территорий. Перспективные планы Росатома в сфере обеспечения безопасности включают в себя дальнейшее совершенствование культуры безопасной эксплуатации ядерных объектов, продолжение работ по ликвидации наследия советского «атомного проекта», внедрение современных систем управления безопасностью.</w:t>
      </w:r>
    </w:p>
    <w:p>
      <w:pPr>
        <w:pStyle w:val="Normal1"/>
        <w:spacing w:lineRule="auto" w:line="240" w:before="280" w:after="280"/>
        <w:rPr/>
      </w:pPr>
      <w:r>
        <w:rPr>
          <w:i/>
          <w:sz w:val="24"/>
          <w:szCs w:val="24"/>
        </w:rPr>
        <w:t xml:space="preserve"> 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452</Words>
  <Characters>3505</Characters>
  <CharactersWithSpaces>3951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