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На предприятии Росатома на учениях по ликвидации условной аварии задействовали роботов</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 АО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Сибирский химический комбинат</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СХК</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предприятие Топливного дивизиона Госкорпорации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Росатом</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в г. Северске Томской области) прошли плановые тактико-специальные учения по локализации и ликвидации последствий условной аварии на дамбе водохранилища </w:t>
      </w:r>
      <w:r>
        <w:rPr>
          <w:rFonts w:ascii="Segoe UI Symbol" w:hAnsi="Segoe UI Symbol" w:cs="Segoe UI Symbol" w:eastAsia="Segoe UI 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1.</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 проведении учений были задействованы руководители АО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СХК</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комиссия по предупреждению и ликвидации чрезвычайных ситуаций и обеспечению пожарной безопасности предприятия, сотрудники цеха гидроэнергоснабжения АО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СХК</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отвечающие за обслуживание гидротехнических сооружений комбината, специалисты его различных профильных подразделений. К учениям также были привлечены: управление МВД России по ЗАТО Северск, Северский филиал АО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Аварийно-технический центр Росатома</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Северская клиническая больница ФГБУ СибФНКЦ ФМБА России и др. Всего в учениях приняли участие более 70 человек и 14 единиц техники.</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Во время учений были задействованы наземный робот и беспилотный летательный аппарат. С помощью робототехнического комплекса проводилась радиационная разведка: информацию собирал наземный робот, наблюдение с воздуха обеспечивал дрон, все данные аккумулировались в мобильном пункте управления. Были развернуты пункты санитарной обработки и дозиметрического контроля транспорта, отработаны действия спасателей по спасению человека после ДТП (представители аварийно-технического центра разблокировали автомобиль, извлекли условного пострадавшего). На заключительном этапе ликвидации условной аварии гребень разрушенной дамбы был засыпан щебнем и гравием, это предотвратило дальнейшее разрушение плотины.</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Присутствовавший наблюдатель от Главного управления МЧС России по Томской области подтвердил, что силы и средства АО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СХК</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готовы к ликвидации возможных аварийных ситуаций на гидротехнических сооружениях.</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76"/>
        <w:ind w:right="0" w:left="0" w:firstLine="0"/>
        <w:jc w:val="left"/>
        <w:rPr>
          <w:rFonts w:ascii="Arial" w:hAnsi="Arial" w:cs="Arial" w:eastAsia="Arial"/>
          <w:b/>
          <w:i/>
          <w:color w:val="auto"/>
          <w:spacing w:val="0"/>
          <w:position w:val="0"/>
          <w:sz w:val="24"/>
          <w:shd w:fill="auto" w:val="clear"/>
        </w:rPr>
      </w:pPr>
      <w:r>
        <w:rPr>
          <w:rFonts w:ascii="Arial" w:hAnsi="Arial" w:cs="Arial" w:eastAsia="Arial"/>
          <w:b/>
          <w:i/>
          <w:color w:val="auto"/>
          <w:spacing w:val="0"/>
          <w:position w:val="0"/>
          <w:sz w:val="24"/>
          <w:shd w:fill="auto" w:val="clear"/>
        </w:rPr>
        <w:t xml:space="preserve">Справки:</w:t>
      </w:r>
    </w:p>
    <w:p>
      <w:pPr>
        <w:spacing w:before="0" w:after="0" w:line="276"/>
        <w:ind w:right="0" w:left="0" w:firstLine="0"/>
        <w:jc w:val="left"/>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 </w:t>
      </w:r>
    </w:p>
    <w:p>
      <w:pPr>
        <w:spacing w:before="0" w:after="0" w:line="276"/>
        <w:ind w:right="0" w:left="0" w:firstLine="0"/>
        <w:jc w:val="left"/>
        <w:rPr>
          <w:rFonts w:ascii="Arial" w:hAnsi="Arial" w:cs="Arial" w:eastAsia="Arial"/>
          <w:i/>
          <w:color w:val="auto"/>
          <w:spacing w:val="0"/>
          <w:position w:val="0"/>
          <w:sz w:val="24"/>
          <w:u w:val="single"/>
          <w:shd w:fill="auto" w:val="clear"/>
        </w:rPr>
      </w:pPr>
      <w:r>
        <w:rPr>
          <w:rFonts w:ascii="Arial" w:hAnsi="Arial" w:cs="Arial" w:eastAsia="Arial"/>
          <w:i/>
          <w:color w:val="auto"/>
          <w:spacing w:val="0"/>
          <w:position w:val="0"/>
          <w:sz w:val="24"/>
          <w:shd w:fill="auto" w:val="clear"/>
        </w:rPr>
        <w:t xml:space="preserve">Топливный дивизион Госкорпорации </w:t>
      </w:r>
      <w:r>
        <w:rPr>
          <w:rFonts w:ascii="Arial" w:hAnsi="Arial" w:cs="Arial" w:eastAsia="Arial"/>
          <w:i/>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Росатом</w:t>
      </w:r>
      <w:r>
        <w:rPr>
          <w:rFonts w:ascii="Arial" w:hAnsi="Arial" w:cs="Arial" w:eastAsia="Arial"/>
          <w:i/>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включает предприятия по фабрикации ядерного топлива, конверсии и обогащению урана, производству газовых центрифуг, а также научно-исследовательские и конструкторские организации. Сегодня компания является одним из крупнейших поставщиков топлива для мировой атомной энергетики, продолжает укреплять позиции, воплощая новые производственные проекты. Являясь единственным поставщиком ядерного топлива для российских АЭС, предприятия дивизиона обеспечивают топливом в общей сложности 75 энергетических реакторов в 15 государствах, исследовательские реакторы в девяти странах мира, а также транспортные реакторы российского атомного флота. Каждый шестой энергетический реактор в мире работает на топливе ТВЭЛ. Топливный дивизион Росатома является крупнейшим в мире производителем обогащенного урана, а также лидером глобального рынка стабильных изотопов. В Топливном дивизионе активно развиваются новые бизнесы в области химии, металлургии, технологий накопления энергии, 3D-печати, цифровых продуктов, а также вывода из эксплуатации ядерных объектов. В контуре Топливной компании ТВЭЛ созданы отраслевые интеграторы Росатома по аддитивным технологиям и системам накопления электроэнергии. </w:t>
      </w:r>
      <w:hyperlink xmlns:r="http://schemas.openxmlformats.org/officeDocument/2006/relationships" r:id="docRId0">
        <w:r>
          <w:rPr>
            <w:rFonts w:ascii="Arial" w:hAnsi="Arial" w:cs="Arial" w:eastAsia="Arial"/>
            <w:i/>
            <w:color w:val="0000FF"/>
            <w:spacing w:val="0"/>
            <w:position w:val="0"/>
            <w:sz w:val="24"/>
            <w:u w:val="single"/>
            <w:shd w:fill="auto" w:val="clear"/>
          </w:rPr>
          <w:t xml:space="preserve">http://www.tvel.ru</w:t>
        </w:r>
      </w:hyperlink>
    </w:p>
    <w:p>
      <w:pPr>
        <w:spacing w:before="0" w:after="0" w:line="276"/>
        <w:ind w:right="0" w:left="0" w:firstLine="0"/>
        <w:jc w:val="left"/>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 </w:t>
      </w:r>
    </w:p>
    <w:p>
      <w:pPr>
        <w:spacing w:before="0" w:after="0" w:line="276"/>
        <w:ind w:right="0" w:left="0" w:firstLine="0"/>
        <w:jc w:val="left"/>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Безопасность </w:t>
      </w:r>
      <w:r>
        <w:rPr>
          <w:rFonts w:ascii="Arial" w:hAnsi="Arial" w:cs="Arial" w:eastAsia="Arial"/>
          <w:i/>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один из ключевых приоритетов деятельности как отечественного топливно-энергетического комплекса в целом, так и Госкорпорации </w:t>
      </w:r>
      <w:r>
        <w:rPr>
          <w:rFonts w:ascii="Arial" w:hAnsi="Arial" w:cs="Arial" w:eastAsia="Arial"/>
          <w:i/>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Росатом</w:t>
      </w:r>
      <w:r>
        <w:rPr>
          <w:rFonts w:ascii="Arial" w:hAnsi="Arial" w:cs="Arial" w:eastAsia="Arial"/>
          <w:i/>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и ее предприятий. Значительное внимание уделяется повышению культуры безопасности, внедрению современных методов охраны труда и борьбы с травматизмом, использованию информационных технологий. Продолжается работа по приоритетным направлениям развития атомной энергетики, обеспечивающая снижение нагрузки на экологию.</w:t>
      </w:r>
    </w:p>
    <w:p>
      <w:pPr>
        <w:spacing w:before="0" w:after="0" w:line="276"/>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m.mastermail.ru/owa/redir.aspx?C=zVLvzMAWdxZs9cocsXk0hG535f3DbRZipITcE3ipnQ_dUbJzm8jbCA..&amp;URL=http%3a%2f%2fwww.tvel.ru%2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