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 w:before="280" w:after="80"/>
        <w:jc w:val="both"/>
        <w:rPr>
          <w:b/>
        </w:rPr>
      </w:pPr>
      <w:r>
        <w:rPr>
          <w:rFonts w:eastAsia="Trebuchet MS" w:cs="Trebuchet MS" w:ascii="Trebuchet MS" w:hAnsi="Trebuchet MS"/>
          <w:b/>
          <w:color w:val="343433"/>
          <w:sz w:val="24"/>
          <w:szCs w:val="24"/>
        </w:rPr>
        <w:t>На Курской АЭС-2 завершены работы по бетонированию купола внутренней защитной оболочки второго энергоблока</w:t>
      </w:r>
    </w:p>
    <w:p>
      <w:pPr>
        <w:pStyle w:val="Normal1"/>
        <w:spacing w:lineRule="auto" w:line="276" w:before="280" w:after="80"/>
        <w:jc w:val="both"/>
        <w:rPr>
          <w:b w:val="false"/>
        </w:rPr>
      </w:pP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>В реакторном здании второго энергоблока завершено бетонирование купола внутренней защитной оболочки (ВЗО). Это завершающий этап строительства одного из физических барьеров глубокоэшелонированной защиты АЭС. Всего в конструкцию купольной части высотой 19,4 м с внутренним диаметром основания 44 м уложено около 3,5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 xml:space="preserve"> тыс.</w:t>
      </w: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 xml:space="preserve"> </w:t>
      </w:r>
      <w:r>
        <w:rPr>
          <w:rFonts w:eastAsia="Trebuchet MS" w:cs="Trebuchet MS" w:ascii="Trebuchet MS" w:hAnsi="Trebuchet MS"/>
          <w:color w:val="4D5156"/>
          <w:sz w:val="24"/>
          <w:szCs w:val="24"/>
          <w:highlight w:val="white"/>
        </w:rPr>
        <w:t>м³</w:t>
      </w: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 xml:space="preserve"> бетонной смеси. По завершени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>и</w:t>
      </w: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 xml:space="preserve"> бетонирования вершина купола внутренней защитной оболочки достигла отметки 61,7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 xml:space="preserve"> м</w:t>
      </w: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>, толщина стенок составила 1,2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 xml:space="preserve"> </w:t>
      </w: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>м.</w:t>
      </w:r>
    </w:p>
    <w:p>
      <w:pPr>
        <w:pStyle w:val="Normal1"/>
        <w:spacing w:lineRule="auto" w:line="276" w:before="280" w:after="80"/>
        <w:jc w:val="both"/>
        <w:rPr>
          <w:b w:val="false"/>
        </w:rPr>
      </w:pP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 xml:space="preserve">Внутренняя защитная оболочка 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>—</w:t>
      </w: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 xml:space="preserve"> один из основных элементов системы безопасности атомной электростанции. Она не только защищает реакторное отделение, но и дает опору для проходок трубопроводов и полярного крана, с помощью которого обслуживается атомный реактор.</w:t>
      </w:r>
    </w:p>
    <w:p>
      <w:pPr>
        <w:pStyle w:val="Normal1"/>
        <w:spacing w:lineRule="auto" w:line="276" w:before="280" w:after="80"/>
        <w:jc w:val="both"/>
        <w:rPr>
          <w:b w:val="false"/>
        </w:rPr>
      </w:pP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 xml:space="preserve">«Завершение бетонирования внутренней защитной оболочки второго энергоблока 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>—</w:t>
      </w: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 xml:space="preserve"> одно из значимых событий на площадке сооружения Курской АЭС-2, 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>—</w:t>
      </w: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 xml:space="preserve"> пояснил первый заместитель директора по сооружению новых блоков </w:t>
      </w:r>
      <w:r>
        <w:rPr>
          <w:rFonts w:eastAsia="Trebuchet MS" w:cs="Trebuchet MS" w:ascii="Trebuchet MS" w:hAnsi="Trebuchet MS"/>
          <w:b/>
          <w:color w:val="343433"/>
          <w:sz w:val="24"/>
          <w:szCs w:val="24"/>
        </w:rPr>
        <w:t>Андрей Ошарин</w:t>
      </w: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 xml:space="preserve">. 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>—</w:t>
      </w: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 xml:space="preserve"> Это дает старт для подготовки к следующему этапу работ в реакторном здании второго энергоблока 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>—</w:t>
      </w: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 xml:space="preserve"> монтажу системы преднапряжения защитной оболочки, многократно усиливающ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>ей</w:t>
      </w: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 xml:space="preserve"> прочность внутренней защитной оболочки».</w:t>
      </w:r>
    </w:p>
    <w:p>
      <w:pPr>
        <w:pStyle w:val="Normal1"/>
        <w:spacing w:lineRule="auto" w:line="276" w:before="280" w:after="80"/>
        <w:jc w:val="both"/>
        <w:rPr>
          <w:b w:val="false"/>
        </w:rPr>
      </w:pP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 xml:space="preserve">На протяжении всего процесса бетонирования осуществлялся лабораторный контроль качества бетонной смеси. Только при подтверждении требуемых технологических характеристик бетонная смесь допускалась для укладки в 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>конструктив</w:t>
      </w: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>.</w:t>
      </w:r>
    </w:p>
    <w:p>
      <w:pPr>
        <w:pStyle w:val="Normal1"/>
        <w:spacing w:lineRule="auto" w:line="276" w:before="280" w:after="80"/>
        <w:jc w:val="both"/>
        <w:rPr>
          <w:b w:val="false"/>
        </w:rPr>
      </w:pPr>
      <w:sdt>
        <w:sdtPr>
          <w:tag w:val="goog_rdk_0"/>
        </w:sdtPr>
        <w:sdtContent>
          <w:r>
            <w:rPr>
              <w:rFonts w:eastAsia="Arial" w:cs="Arial"/>
              <w:b w:val="false"/>
              <w:color w:val="343433"/>
              <w:sz w:val="24"/>
              <w:szCs w:val="24"/>
            </w:rPr>
          </w:r>
          <w:r>
            <w:rPr>
              <w:rFonts w:eastAsia="Arial" w:cs="Arial"/>
              <w:b w:val="false"/>
              <w:color w:val="343433"/>
              <w:sz w:val="24"/>
              <w:szCs w:val="24"/>
            </w:rPr>
            <w:t xml:space="preserve">«При бетонировании купола внутренней защитной оболочки второго энергоблока использовали аналогичный опыт работ на энергоблоке № 1, </w:t>
          </w:r>
        </w:sdtContent>
      </w:sdt>
      <w:r>
        <w:rPr>
          <w:rFonts w:eastAsia="Trebuchet MS" w:cs="Trebuchet MS" w:ascii="Trebuchet MS" w:hAnsi="Trebuchet MS"/>
          <w:color w:val="343433"/>
          <w:sz w:val="24"/>
          <w:szCs w:val="24"/>
        </w:rPr>
        <w:t>—</w:t>
      </w: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 xml:space="preserve"> пояснил вице-президент 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>—</w:t>
      </w: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 xml:space="preserve"> директор проекта по сооружению Курской АЭС АО АСЭ </w:t>
      </w:r>
      <w:r>
        <w:rPr>
          <w:rFonts w:eastAsia="Trebuchet MS" w:cs="Trebuchet MS" w:ascii="Trebuchet MS" w:hAnsi="Trebuchet MS"/>
          <w:b/>
          <w:color w:val="343433"/>
          <w:sz w:val="24"/>
          <w:szCs w:val="24"/>
        </w:rPr>
        <w:t>Олег Шперле</w:t>
      </w: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 xml:space="preserve">. 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>—</w:t>
      </w: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 xml:space="preserve"> Это позволило оптимизировать процесс работы. Бетонирование велось непрерывно в дневную и ночную смены с участием около 80 специалистов подрядной организации».</w:t>
      </w:r>
    </w:p>
    <w:p>
      <w:pPr>
        <w:pStyle w:val="Normal1"/>
        <w:spacing w:lineRule="auto" w:line="276" w:before="280" w:after="80"/>
        <w:jc w:val="both"/>
        <w:rPr>
          <w:rFonts w:ascii="Trebuchet MS" w:hAnsi="Trebuchet MS" w:eastAsia="Trebuchet MS" w:cs="Trebuchet MS"/>
          <w:b w:val="false"/>
          <w:color w:val="343433"/>
          <w:sz w:val="24"/>
          <w:szCs w:val="24"/>
        </w:rPr>
      </w:pP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>Проектом строительства Курской АЭС-2 предусмотрен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>ы</w:t>
      </w: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 xml:space="preserve"> две защитные оболочки 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>для зданий реактора</w:t>
      </w: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 xml:space="preserve"> 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>—</w:t>
      </w:r>
      <w:r>
        <w:rPr>
          <w:rFonts w:eastAsia="Trebuchet MS" w:cs="Trebuchet MS" w:ascii="Trebuchet MS" w:hAnsi="Trebuchet MS"/>
          <w:b w:val="false"/>
          <w:color w:val="343433"/>
          <w:sz w:val="24"/>
          <w:szCs w:val="24"/>
        </w:rPr>
        <w:t xml:space="preserve"> внутренняя и наружная, которые служат физической защитой от техногенных и природных воздействий.</w:t>
      </w:r>
    </w:p>
    <w:p>
      <w:pPr>
        <w:pStyle w:val="Normal1"/>
        <w:spacing w:lineRule="auto" w:line="276" w:before="280" w:after="80"/>
        <w:jc w:val="both"/>
        <w:rPr>
          <w:rFonts w:ascii="Trebuchet MS" w:hAnsi="Trebuchet MS" w:eastAsia="Trebuchet MS" w:cs="Trebuchet MS"/>
          <w:b/>
          <w:color w:val="343433"/>
          <w:sz w:val="24"/>
          <w:szCs w:val="24"/>
        </w:rPr>
      </w:pPr>
      <w:r>
        <w:rPr>
          <w:rFonts w:eastAsia="Trebuchet MS" w:cs="Trebuchet MS" w:ascii="Trebuchet MS" w:hAnsi="Trebuchet MS"/>
          <w:b/>
          <w:color w:val="343433"/>
          <w:sz w:val="24"/>
          <w:szCs w:val="24"/>
        </w:rPr>
        <w:t>Справка:</w:t>
      </w:r>
    </w:p>
    <w:p>
      <w:pPr>
        <w:pStyle w:val="Normal1"/>
        <w:spacing w:lineRule="auto" w:line="276" w:before="280" w:after="80"/>
        <w:jc w:val="both"/>
        <w:rPr>
          <w:b w:val="false"/>
          <w:i/>
          <w:i/>
        </w:rPr>
      </w:pPr>
      <w:r>
        <w:rPr>
          <w:rFonts w:eastAsia="Trebuchet MS" w:cs="Trebuchet MS" w:ascii="Trebuchet MS" w:hAnsi="Trebuchet MS"/>
          <w:b w:val="false"/>
          <w:i/>
          <w:color w:val="343433"/>
          <w:sz w:val="24"/>
          <w:szCs w:val="24"/>
        </w:rPr>
        <w:t>Энергетика является основой поступательного социально-экономического развития страны, снабжения промышленности и граждан. Российский топливно-энергетический комплекс продолжает реализацию новых проектов и плановое обновление мощностей. Эта работа осуществляется с учетом современных трендов цифровизации и замещения импортного оборудования. Росатом и его предприятия принимают активное участие в этой работе.</w:t>
      </w:r>
    </w:p>
    <w:p>
      <w:pPr>
        <w:pStyle w:val="Normal1"/>
        <w:spacing w:lineRule="auto" w:line="276" w:before="280" w:after="80"/>
        <w:jc w:val="both"/>
        <w:rPr>
          <w:b w:val="false"/>
        </w:rPr>
      </w:pPr>
      <w:sdt>
        <w:sdtPr>
          <w:tag w:val="goog_rdk_1"/>
        </w:sdtPr>
        <w:sdtContent>
          <w:r>
            <w:rPr>
              <w:rFonts w:eastAsia="Arial" w:cs="Arial"/>
              <w:b w:val="false"/>
              <w:i/>
              <w:color w:val="343433"/>
              <w:sz w:val="24"/>
              <w:szCs w:val="24"/>
            </w:rPr>
          </w:r>
          <w:r>
            <w:rPr>
              <w:rFonts w:eastAsia="Arial" w:cs="Arial"/>
              <w:b w:val="false"/>
              <w:i/>
              <w:color w:val="343433"/>
              <w:sz w:val="24"/>
              <w:szCs w:val="24"/>
            </w:rPr>
            <w:t xml:space="preserve">Энергоблоки № 1 и № 2 КуАЭС-2 поколения </w:t>
          </w:r>
        </w:sdtContent>
      </w:sdt>
      <w:r>
        <w:rPr>
          <w:rFonts w:eastAsia="Trebuchet MS" w:cs="Trebuchet MS" w:ascii="Trebuchet MS" w:hAnsi="Trebuchet MS"/>
          <w:i/>
          <w:color w:val="343433"/>
          <w:sz w:val="24"/>
          <w:szCs w:val="24"/>
        </w:rPr>
        <w:t>III+</w:t>
      </w:r>
      <w:r>
        <w:rPr>
          <w:rFonts w:eastAsia="Trebuchet MS" w:cs="Trebuchet MS" w:ascii="Trebuchet MS" w:hAnsi="Trebuchet MS"/>
          <w:b w:val="false"/>
          <w:i/>
          <w:color w:val="343433"/>
          <w:sz w:val="24"/>
          <w:szCs w:val="24"/>
        </w:rPr>
        <w:t xml:space="preserve"> являются пилотными, сооружаемыми по проекту ВВЭР-ТОИ (водо-водяной энергетический реактор типовой оптимизированный информатизированный). Это новый проект, созданный российскими проектировщиками (АО </w:t>
      </w:r>
      <w:r>
        <w:rPr>
          <w:rFonts w:eastAsia="Trebuchet MS" w:cs="Trebuchet MS" w:ascii="Trebuchet MS" w:hAnsi="Trebuchet MS"/>
          <w:i/>
          <w:color w:val="343433"/>
          <w:sz w:val="24"/>
          <w:szCs w:val="24"/>
        </w:rPr>
        <w:t>«</w:t>
      </w:r>
      <w:r>
        <w:rPr>
          <w:rFonts w:eastAsia="Trebuchet MS" w:cs="Trebuchet MS" w:ascii="Trebuchet MS" w:hAnsi="Trebuchet MS"/>
          <w:b w:val="false"/>
          <w:i/>
          <w:color w:val="343433"/>
          <w:sz w:val="24"/>
          <w:szCs w:val="24"/>
        </w:rPr>
        <w:t>Атомэнергопроект</w:t>
      </w:r>
      <w:r>
        <w:rPr>
          <w:rFonts w:eastAsia="Trebuchet MS" w:cs="Trebuchet MS" w:ascii="Trebuchet MS" w:hAnsi="Trebuchet MS"/>
          <w:i/>
          <w:color w:val="343433"/>
          <w:sz w:val="24"/>
          <w:szCs w:val="24"/>
        </w:rPr>
        <w:t>»</w:t>
      </w:r>
      <w:r>
        <w:rPr>
          <w:rFonts w:eastAsia="Trebuchet MS" w:cs="Trebuchet MS" w:ascii="Trebuchet MS" w:hAnsi="Trebuchet MS"/>
          <w:b w:val="false"/>
          <w:i/>
          <w:color w:val="343433"/>
          <w:sz w:val="24"/>
          <w:szCs w:val="24"/>
        </w:rPr>
        <w:t>) на базе технических решений проекта АЭС с ВВЭР-1200. Они обладают улучшенными технико-экономическими показателями. Мощность каждого энергоблока выросла на 25 %, до 1255 МВт по сравнению с энергоблоками действующей Курской АЭС.</w:t>
      </w:r>
    </w:p>
    <w:p>
      <w:pPr>
        <w:pStyle w:val="Normal1"/>
        <w:spacing w:lineRule="auto" w:line="276" w:before="280" w:after="80"/>
        <w:jc w:val="left"/>
        <w:rPr/>
      </w:pPr>
      <w:r>
        <w:rPr/>
      </w:r>
    </w:p>
    <w:sectPr>
      <w:type w:val="nextPage"/>
      <w:pgSz w:w="11906" w:h="16838"/>
      <w:pgMar w:left="900" w:right="881" w:gutter="0" w:header="0" w:top="660" w:footer="0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Segoe UI">
    <w:charset w:val="01"/>
    <w:family w:val="swiss"/>
    <w:pitch w:val="default"/>
  </w:font>
  <w:font w:name="Calibri">
    <w:charset w:val="01"/>
    <w:family w:val="swiss"/>
    <w:pitch w:val="default"/>
  </w:font>
  <w:font w:name="PT Astra Serif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swiss"/>
    <w:pitch w:val="default"/>
  </w:font>
  <w:font w:name="HiddenHorzOCl">
    <w:charset w:val="01"/>
    <w:family w:val="swiss"/>
    <w:pitch w:val="default"/>
  </w:font>
  <w:font w:name="Trebuchet M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223cc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1"/>
    <w:next w:val="Normal1"/>
    <w:qFormat/>
    <w:rsid w:val="00f223cc"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1"/>
    <w:next w:val="Normal1"/>
    <w:qFormat/>
    <w:rsid w:val="00f223cc"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1"/>
    <w:next w:val="Normal1"/>
    <w:qFormat/>
    <w:rsid w:val="00f223cc"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qFormat/>
    <w:rsid w:val="00f223cc"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rsid w:val="00f223cc"/>
    <w:pPr>
      <w:keepNext w:val="true"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1"/>
    <w:next w:val="Normal1"/>
    <w:qFormat/>
    <w:rsid w:val="00f223cc"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sid w:val="008529f5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829cb"/>
    <w:rPr>
      <w:sz w:val="16"/>
      <w:szCs w:val="16"/>
    </w:rPr>
  </w:style>
  <w:style w:type="character" w:styleId="Style9" w:customStyle="1">
    <w:name w:val="Текст примечания Знак"/>
    <w:basedOn w:val="DefaultParagraphFont"/>
    <w:uiPriority w:val="99"/>
    <w:semiHidden/>
    <w:qFormat/>
    <w:rsid w:val="007829cb"/>
    <w:rPr>
      <w:sz w:val="20"/>
      <w:szCs w:val="20"/>
    </w:rPr>
  </w:style>
  <w:style w:type="character" w:styleId="Style10" w:customStyle="1">
    <w:name w:val="Тема примечания Знак"/>
    <w:basedOn w:val="Style9"/>
    <w:uiPriority w:val="99"/>
    <w:semiHidden/>
    <w:qFormat/>
    <w:rsid w:val="007829cb"/>
    <w:rPr>
      <w:b/>
      <w:bCs/>
      <w:sz w:val="20"/>
      <w:szCs w:val="20"/>
    </w:rPr>
  </w:style>
  <w:style w:type="character" w:styleId="Style11" w:customStyle="1">
    <w:name w:val="Текст Знак"/>
    <w:basedOn w:val="DefaultParagraphFont"/>
    <w:uiPriority w:val="99"/>
    <w:semiHidden/>
    <w:qFormat/>
    <w:rsid w:val="00f03daf"/>
    <w:rPr>
      <w:rFonts w:ascii="Calibri" w:hAnsi="Calibri" w:eastAsia="Cambria" w:cs="" w:cstheme="minorBidi" w:eastAsiaTheme="minorHAnsi"/>
      <w:szCs w:val="21"/>
      <w:lang w:val="ru-RU" w:eastAsia="en-US"/>
    </w:rPr>
  </w:style>
  <w:style w:type="character" w:styleId="-" w:customStyle="1">
    <w:name w:val="Hyperlink"/>
    <w:basedOn w:val="DefaultParagraphFont"/>
    <w:uiPriority w:val="99"/>
    <w:unhideWhenUsed/>
    <w:rsid w:val="00c30eb8"/>
    <w:rPr>
      <w:color w:val="0000FF"/>
      <w:u w:val="single"/>
    </w:rPr>
  </w:style>
  <w:style w:type="character" w:styleId="Style12">
    <w:name w:val="Emphasis"/>
    <w:basedOn w:val="DefaultParagraphFont"/>
    <w:uiPriority w:val="20"/>
    <w:qFormat/>
    <w:rsid w:val="00794b65"/>
    <w:rPr>
      <w:i/>
      <w:iCs/>
    </w:rPr>
  </w:style>
  <w:style w:type="paragraph" w:styleId="Style13">
    <w:name w:val="Заголовок"/>
    <w:basedOn w:val="Normal1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1"/>
    <w:pPr>
      <w:spacing w:before="0" w:after="140"/>
    </w:pPr>
    <w:rPr/>
  </w:style>
  <w:style w:type="paragraph" w:styleId="Style15">
    <w:name w:val="List"/>
    <w:basedOn w:val="Style14"/>
    <w:pPr/>
    <w:rPr>
      <w:rFonts w:cs="Noto Sans Devanagari"/>
    </w:rPr>
  </w:style>
  <w:style w:type="paragraph" w:styleId="Style16">
    <w:name w:val="Caption"/>
    <w:basedOn w:val="Normal1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1"/>
    <w:qFormat/>
    <w:pPr>
      <w:suppressLineNumbers/>
    </w:pPr>
    <w:rPr>
      <w:rFonts w:ascii="PT Astra Serif" w:hAnsi="PT Astra Serif" w:cs="Noto Sans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8">
    <w:name w:val="Title"/>
    <w:basedOn w:val="Normal1"/>
    <w:next w:val="Normal1"/>
    <w:qFormat/>
    <w:rsid w:val="00f223cc"/>
    <w:pPr>
      <w:keepNext w:val="true"/>
      <w:keepLines/>
      <w:spacing w:before="0" w:after="60"/>
    </w:pPr>
    <w:rPr>
      <w:sz w:val="52"/>
      <w:szCs w:val="52"/>
    </w:rPr>
  </w:style>
  <w:style w:type="paragraph" w:styleId="11" w:customStyle="1">
    <w:name w:val="Заголовок1"/>
    <w:basedOn w:val="Normal1"/>
    <w:next w:val="Style14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heading">
    <w:name w:val="index heading"/>
    <w:basedOn w:val="Normal1"/>
    <w:qFormat/>
    <w:pPr>
      <w:suppressLineNumbers/>
    </w:pPr>
    <w:rPr>
      <w:rFonts w:cs="Noto Sans Devanagari"/>
    </w:rPr>
  </w:style>
  <w:style w:type="paragraph" w:styleId="Style19">
    <w:name w:val="Subtitle"/>
    <w:basedOn w:val="Normal1"/>
    <w:next w:val="Normal1"/>
    <w:qFormat/>
    <w:rsid w:val="00f223cc"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BalloonText">
    <w:name w:val="Balloon Text"/>
    <w:basedOn w:val="Normal1"/>
    <w:uiPriority w:val="99"/>
    <w:semiHidden/>
    <w:unhideWhenUsed/>
    <w:qFormat/>
    <w:rsid w:val="008529f5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1"/>
    <w:uiPriority w:val="99"/>
    <w:semiHidden/>
    <w:unhideWhenUsed/>
    <w:qFormat/>
    <w:rsid w:val="007829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7829cb"/>
    <w:pPr/>
    <w:rPr>
      <w:b/>
      <w:bCs/>
    </w:rPr>
  </w:style>
  <w:style w:type="paragraph" w:styleId="PlainText">
    <w:name w:val="Plain Text"/>
    <w:basedOn w:val="Normal1"/>
    <w:uiPriority w:val="99"/>
    <w:semiHidden/>
    <w:unhideWhenUsed/>
    <w:qFormat/>
    <w:rsid w:val="00f03daf"/>
    <w:pPr>
      <w:spacing w:lineRule="auto" w:line="240"/>
    </w:pPr>
    <w:rPr>
      <w:rFonts w:ascii="Calibri" w:hAnsi="Calibri" w:eastAsia="Cambria" w:cs="" w:cstheme="minorBidi" w:eastAsiaTheme="minorHAnsi"/>
      <w:szCs w:val="21"/>
      <w:lang w:eastAsia="en-US"/>
    </w:rPr>
  </w:style>
  <w:style w:type="paragraph" w:styleId="NormalWeb">
    <w:name w:val="Normal (Web)"/>
    <w:basedOn w:val="Normal1"/>
    <w:uiPriority w:val="99"/>
    <w:unhideWhenUsed/>
    <w:qFormat/>
    <w:rsid w:val="00c30eb8"/>
    <w:pPr>
      <w:spacing w:lineRule="auto" w:line="240" w:beforeAutospacing="1" w:afterAutospacing="1"/>
    </w:pPr>
    <w:rPr>
      <w:rFonts w:ascii="Times New Roman" w:hAnsi="Times New Roman" w:eastAsia="Cambria" w:cs="Times New Roman" w:eastAsiaTheme="minorHAnsi"/>
      <w:sz w:val="24"/>
      <w:szCs w:val="24"/>
    </w:rPr>
  </w:style>
  <w:style w:type="paragraph" w:styleId="Default" w:customStyle="1">
    <w:name w:val="Default"/>
    <w:qFormat/>
    <w:rsid w:val="006262b1"/>
    <w:pPr>
      <w:widowControl/>
      <w:suppressAutoHyphens w:val="true"/>
      <w:bidi w:val="0"/>
      <w:spacing w:lineRule="auto" w:line="276" w:before="0" w:after="0"/>
      <w:jc w:val="left"/>
    </w:pPr>
    <w:rPr>
      <w:rFonts w:ascii="HiddenHorzOCl" w:hAnsi="HiddenHorzOCl" w:eastAsia="Cambria" w:cs="HiddenHorzOCl" w:eastAsiaTheme="minorHAnsi"/>
      <w:color w:val="000000"/>
      <w:kern w:val="0"/>
      <w:sz w:val="24"/>
      <w:szCs w:val="24"/>
      <w:lang w:val="ru-RU" w:eastAsia="en-US" w:bidi="ar-SA"/>
    </w:rPr>
  </w:style>
  <w:style w:type="paragraph" w:styleId="Arttext" w:customStyle="1">
    <w:name w:val="arttext"/>
    <w:basedOn w:val="Normal1"/>
    <w:qFormat/>
    <w:rsid w:val="00c71dc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228bf8a64b8551e1msonormal" w:customStyle="1">
    <w:name w:val="228bf8a64b8551e1msonormal"/>
    <w:basedOn w:val="Normal1"/>
    <w:qFormat/>
    <w:rsid w:val="00124a7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0" w:customStyle="1">
    <w:name w:val="Содержимое врезки"/>
    <w:basedOn w:val="Normal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f223c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rkq2QpUoN1JTYJznHUOcHyF2CIA==">CgMxLjAaIAoBMBIbChkIB0IVCgxUcmVidWNoZXQgTVMSBUFyaWFsGiAKATESGwoZCAdCFQoMVHJlYnVjaGV0IE1TEgVBcmlhbCKQAgoLQUFBQTZfNl9BeFkS2gEKC0FBQUE2XzZfQXhZEgtBQUFBNl82X0F4WRoNCgl0ZXh0L2h0bWwSACIOCgp0ZXh0L3BsYWluEgAqGyIVMTA0NjkzODIxMjI5NzU2NDEyMTUxKAA4ADCIyeLDszE4y83iw7MxSjoKJGFwcGxpY2F0aW9uL3ZuZC5nb29nbGUtYXBwcy5kb2NzLm1kcxoSwtfa5AEMEgoKBgoAEBMYABABWgx5bHVvNDc0YnBiOWpyAiAAeACCARRzdWdnZXN0LndwMW42d2N3enBmcJoBBggAEAAYALABALgBABiIyeLDszEgy83iw7MxMABCFHN1Z2dlc3Qud3AxbjZ3Y3d6cGZwIt0DCgtBQUFBNl82X0F3QRKnAwoLQUFBQTZfNl9Bd0ESC0FBQUE2XzZfQXdBGg0KCXRleHQvaHRtbBIAIg4KCnRleHQvcGxhaW4SACobIhUxMDQ2OTM4MjEyMjk3NTY0MTIxNTEoADgAMOeM1cOzMTjLktXDszFKhgIKJGFwcGxpY2F0aW9uL3ZuZC5nb29nbGUtYXBwcy5kb2NzLm1kcxrdAcLX2uQB1gEK0wEKxQEKvgHQotC+0LvRjNC60L4g0L/RgNC4INC/0L7QtNGC0LLQtdGA0LbQtNC10L3QuNC4INGC0YDQtdCx0YPQtdC80YvRhSDRgtC10YXQvdC+0LvQvtCz0LjRh9C10YHQutC40YUg0YXQsNGA0LDQutGC0LXRgNC40YHRgtC40Log0LHQtdGC0L7QvdC90LDRjyDRgdC80LXRgdGMINC00L7Qv9GD0YHQutCw0LvQsNGB0Ywg0LTQu9GPINGD0LrQu9CwEAEYARIHCgEtEAEYABgBWgwxM3F0bnhtdG5rOGNyAiAAeACCARRzdWdnZXN0LnJpYzNvNjNibmJxM5oBBggAEAAYALABALgBABjnjNXDszEgy5LVw7MxMABCFHN1Z2dlc3QucmljM282M2JuYnEzOABqIQoUc3VnZ2VzdC5iNms2bHUzYmR4YXoSCUFuZHJleSBTLmohChRzdWdnZXN0LjdyN2IyamN6aGZlaRIJQW5kcmV5IFMuaiEKFHN1Z2dlc3Qud3AxbjZ3Y3d6cGZwEglBbmRyZXkgUy5qIQoUc3VnZ2VzdC51NXhmbjlkNHNsdnkSCUFuZHJleSBTLmohChRzdWdnZXN0LmtxbDBtazMzeDJqYhIJQW5kcmV5IFMuaiEKFHN1Z2dlc3QuZ2c0dGpjaWNqY2JrEglBbmRyZXkgUy5qIQoUc3VnZ2VzdC4xbjZ6ZGtocTVjb3USCUFuZHJleSBTLmohChRzdWdnZXN0LnZjZXFqaWlndXRtNhIJQW5kcmV5IFMuaiEKFHN1Z2dlc3QuOWZyajQ1bDhsNWZlEglBbmRyZXkgUy5qIQoUc3VnZ2VzdC43M2ppMXViYXFucGkSCUFuZHJleSBTLmohChRzdWdnZXN0LnJpYzNvNjNibmJxMxIJQW5kcmV5IFMuaiEKFHN1Z2dlc3QuYzZkejdoMWZnNXljEglBbmRyZXkgUy5qIQoUc3VnZ2VzdC5qazJwbWNpbTRnNjASCUFuZHJleSBTLmohChRzdWdnZXN0LmE4bDMxdWNjeDQ0dBIJQW5kcmV5IFMuaiEKFHN1Z2dlc3QuZ3FmODh0bWhrMjhpEglBbmRyZXkgUy5qIQoUc3VnZ2VzdC4ya3Vkc3VobW95eTASCUFuZHJleSBTLmohChRzdWdnZXN0LmVwa2Q3ejk2NmJhORIJQW5kcmV5IFMuaiEKFHN1Z2dlc3QudTVvZHdsOG82d3k4EglBbmRyZXkgUy5qIQoUc3VnZ2VzdC53ejZzczJqbGZjdWcSCUFuZHJleSBTLmohChRzdWdnZXN0LmFmc3ExMmxzazJzdBIJQW5kcmV5IFMuaiEKFHN1Z2dlc3QuazN5aXNpY3V5NDliEglBbmRyZXkgUy5qIQoUc3VnZ2VzdC4xbG5wdDRkYjhvMnQSCUFuZHJleSBTLmohChRzdWdnZXN0Ljk3Mm52b3F0N2dmeRIJQW5kcmV5IFMuaiEKFHN1Z2dlc3QuZG5qOW1icDJua2EwEglBbmRyZXkgUy5qIQoUc3VnZ2VzdC53bDdrOWgxa3dqdjkSCUFuZHJleSBTLmohChRzdWdnZXN0LmNxcjc0b2Z0Mm5wehIJQW5kcmV5IFMuaiEKFHN1Z2dlc3QueWJndjNobnRkdmNsEglBbmRyZXkgUy5qIQoUc3VnZ2VzdC5tY2dlYnlzMzJleHASCUFuZHJleSBTLmohChRzdWdnZXN0LjNyeG91MGxwdzNwZhIJQW5kcmV5IFMuaiEKFHN1Z2dlc3QudHJrN29maHVsbDh3EglBbmRyZXkgUy5qIQoUc3VnZ2VzdC50a2w0cW50ZTUzdWcSCUFuZHJleSBTLmogChNzdWdnZXN0LjZ4MmNtNHNoemM1EglBbmRyZXkgUy5qIQoUc3VnZ2VzdC43N2MzOTNya3VoMjUSCUFuZHJleSBTLmogChNzdWdnZXN0Lnk0NThrN2h2cjI2EglBbmRyZXkgUy5qIQoUc3VnZ2VzdC40cHRzMWpkamVxZnQSCUFuZHJleSBTLmohChRzdWdnZXN0Ljd6am5zdG4wNWh3MhIJQW5kcmV5IFMuaiEKFHN1Z2dlc3Qud2s2aWp5aDZoM3BlEglBbmRyZXkgUy5qIQoUc3VnZ2VzdC5nNXUyNG1uYnlzOWYSCUFuZHJleSBTLmohChRzdWdnZXN0LmpiY2VlaWhoejZzdhIJQW5kcmV5IFMuaiEKFHN1Z2dlc3QudTcxanBueHRqanc5EglBbmRyZXkgUy5qIQoUc3VnZ2VzdC5laGwwcnFhc2hwamESCUFuZHJleSBTLnIhMW1jaExXRWdZQ1Y2UldLYUFseXlkbk1wWW1jeDBpSm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358</Words>
  <Characters>2608</Characters>
  <CharactersWithSpaces>2966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2021-12-16T08:16:00Z</dcterms:created>
  <dc:creator>Яшина Евгения Николаевна</dc:creator>
  <dc:description/>
  <dc:language>ru-RU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