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Корпоративная Академия Росатома запустила второй этап исследования человекоцентричности компаний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Корпоративная Академия Росатома объявила о запуске второго этапа исследования человекоцентричности (ориентированности организации во всех процессах на человека) компаний. Исследование призвано проверить гипотезу, что человекоцентричный подход является одним из ключевых принципов работы современных предприятий и корпораций.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Первый этап исследования прошел в 2022 году. Примерно 80 % компаний-участниц представляли Россию. В этот раз акцент делается на привлечение к участию организаций из зарубежных стран (включая страны БРИКС и СНГ). Ожидается, что участие примут не менее 250 международных компаний.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 результатам второй волны исследования планируется выпустить цифровой навигатор, который позволит следить за уровнем изменений в индексе человекоцентричности компаний, а также получать в экспресс-формате рекомендации по внедрению лучших практик в этой сфере.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Заместитель генерального директора Корпоративной Академии Росатома Гульнара Биккулова рассказала о предстоящих планах: «На новом этапе исследования мы планируем изучить, как человекоцентричность проявляется в разных социально-культурных условиях таких стран, как Китай, Индия, Бразилия, ОАЭ и других». При этом задача исследования, по ее словам, остается прежней: помочь организациям определить свой уровень зрелости в подходе к собственным сотрудникам и сообществам как в целом, так и на территориях ведения бизнеса.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Помимо увеличения охвата участников, в новом исследовании изменилась содержательная часть опросника: теперь в нем на 14 вопросов больше (61 вместо 47), что, по мнению исследователей, вызвано необходимостью включения в оценку тем, связанных с соблюдением компаниями различных социальных стандартов. Однако на сопоставимость данных с прошлогодней волной эти изменения не повлияют.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Чтобы принять участие в исследовании индекса человекоцентричности, необходимо до 16 ноября заполнить </w:t>
      </w:r>
      <w:hyperlink r:id="rId2">
        <w:r>
          <w:rPr>
            <w:color w:val="1155CC"/>
            <w:sz w:val="24"/>
            <w:szCs w:val="24"/>
            <w:u w:val="single"/>
          </w:rPr>
          <w:t>опрос по ссылке</w:t>
        </w:r>
      </w:hyperlink>
      <w:r>
        <w:rPr>
          <w:sz w:val="24"/>
          <w:szCs w:val="24"/>
        </w:rPr>
        <w:t>. Презентация результатов исследования состоится в начале 2024 года.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Ориентированность организации во всех процессах на человека делает компании более привлекательными и конкурентоспособными на рынке труда. Также такой подход повышает вовлеченность сотрудников, позитивно сказывается на их мотивации и эффективности в работе. Методика исследования индекса человекоцентричности оценивает эффективность организаций с точки зрения создания экосистемы для раскрытия потенциала сотрудников и позволяет компаниям из разных отраслей, с разным оборотом и численностью определять возможные фокусы и направления для дальнейшего развития.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Основу индекса человекоцентричности определяют через два субиндекса. Первый субиндекс внутренней корпоративной ответственности (субиндекс «Сотрудники») отражает деловую практику компании по отношению к собственному персоналу. А субиндекс внешней корпоративной ответственности (субиндекс «Сообщество») оценивает социальную политику компании как для общества в целом, так и для местного сообщества на территории присутствия.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2022 году Корпоративная Академия Росатома совместно с НИУ «Высшая школа экономики» завершила первый этап исследования компаний по методологии индекса человекоцентричности. В пилотном исследовании приняли участие 120 компаний из России, стран СНГ и БРИКС. На вопросы анкеты ответили HR-директора и руководители компаний с разным оборотом и численностью сотрудников. По результатам пилота средний индекс человекоцентричности компаний составил 52 балла из 100 возможных. Данный результат предполагает возможности для развития в зависимости от выбранного фокуса каждой компании.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2023 году по инициативе Росатома был создан Альянс человекоцентричных организаций, в него вошли 10 организаций, среди них — РАНХиГС, АО «ДСК «Автобан», ООО «Нетология» и другие. Цель создания Альянса — развитие сотрудничества на основе принципов равенства, взаимной выгоды, взаимопонимания, уважения и доверия с целью формирования человекоцентричного управления и рынка труда, а также обмен лучшими практиками в этой сфере. Ключевые направления работы Альянса — проведение исследований в области человекоцентричности и формирование экспертного сообщества для обсуждения дальнейших путей развития человекоцентричного управления в мире.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Узнать подробнее о человекоцентричном подходе, стать партнером сообщества и присоединиться к Альянсу можно </w:t>
      </w:r>
      <w:r>
        <w:fldChar w:fldCharType="begin"/>
      </w:r>
      <w:r>
        <w:rPr>
          <w:sz w:val="24"/>
          <w:u w:val="single"/>
          <w:szCs w:val="24"/>
        </w:rPr>
        <w:instrText xml:space="preserve"> HYPERLINK "https://research.rosatomimpact.com/" \l "/"</w:instrText>
      </w:r>
      <w:r>
        <w:rPr>
          <w:sz w:val="24"/>
          <w:u w:val="single"/>
          <w:szCs w:val="24"/>
        </w:rPr>
        <w:fldChar w:fldCharType="separate"/>
      </w:r>
      <w:r>
        <w:rPr>
          <w:sz w:val="24"/>
          <w:szCs w:val="24"/>
          <w:u w:val="single"/>
        </w:rPr>
        <w:t>на сайте</w:t>
      </w:r>
      <w:r>
        <w:rPr>
          <w:sz w:val="24"/>
          <w:u w:val="single"/>
          <w:szCs w:val="24"/>
        </w:rPr>
        <w:fldChar w:fldCharType="end"/>
      </w:r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/>
      </w:pPr>
      <w:r>
        <w:rPr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сотрудников. Росатом и его предприятия участвуют в реализации масштабных программ повышения квалификации, крупных образовательных проектов. Специалисты получают новые полезные навыки, что помогает им в карьерном росте.</w:t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nketolog.ru/humancentricityinde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575</Words>
  <Characters>4114</Characters>
  <CharactersWithSpaces>4679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