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91EFA" w:rsidRDefault="00C111A9">
      <w:pPr>
        <w:spacing w:before="280" w:after="280"/>
        <w:rPr>
          <w:sz w:val="24"/>
          <w:szCs w:val="24"/>
        </w:rPr>
      </w:pPr>
      <w:r>
        <w:rPr>
          <w:b/>
          <w:sz w:val="24"/>
          <w:szCs w:val="24"/>
        </w:rPr>
        <w:t>Корпоративная Академия Росатома приняла участие в IV Международном HR-саммите</w:t>
      </w:r>
    </w:p>
    <w:p w14:paraId="00000002" w14:textId="77777777" w:rsidR="00191EFA" w:rsidRDefault="00C111A9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Корпоративная Академия Росатома приняла</w:t>
      </w:r>
      <w:r>
        <w:rPr>
          <w:sz w:val="24"/>
          <w:szCs w:val="24"/>
        </w:rPr>
        <w:t xml:space="preserve"> участие в IV Международном HR-саммите «Человеческий капитал страны: стратегии лидеров», который завершился 30 сентября в Нижнем Новгороде на площадке Корпоративного университета правительства Нижегородской области (КУПНО).</w:t>
      </w:r>
    </w:p>
    <w:p w14:paraId="00000003" w14:textId="77777777" w:rsidR="00191EFA" w:rsidRDefault="00C111A9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Мероприятие объединило представи</w:t>
      </w:r>
      <w:r>
        <w:rPr>
          <w:sz w:val="24"/>
          <w:szCs w:val="24"/>
        </w:rPr>
        <w:t>телей государственной власти, науки, СМИ, образовательных организаций: всего около 150 докладчиков и 200 HR-экспертов из более чем 50 регионов России и пяти зарубежных стран: Белоруссии, Германии, Казахстана, Узбекистана и Шри-Ланки.</w:t>
      </w:r>
    </w:p>
    <w:p w14:paraId="00000004" w14:textId="77777777" w:rsidR="00191EFA" w:rsidRDefault="00C111A9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Спикеры поделились сво</w:t>
      </w:r>
      <w:r>
        <w:rPr>
          <w:sz w:val="24"/>
          <w:szCs w:val="24"/>
        </w:rPr>
        <w:t xml:space="preserve">им видением того, какие инвестиции нужны для развития человеческого капитала и как </w:t>
      </w:r>
      <w:proofErr w:type="spellStart"/>
      <w:r>
        <w:rPr>
          <w:sz w:val="24"/>
          <w:szCs w:val="24"/>
        </w:rPr>
        <w:t>человекоцентричность</w:t>
      </w:r>
      <w:proofErr w:type="spellEnd"/>
      <w:r>
        <w:rPr>
          <w:sz w:val="24"/>
          <w:szCs w:val="24"/>
        </w:rPr>
        <w:t xml:space="preserve"> влияет на успех компании. Основными проблемами в сфере HR эксперты назвали дефицит кадров на рынке труда, конкуренцию работодателей за сотрудников, необ</w:t>
      </w:r>
      <w:r>
        <w:rPr>
          <w:sz w:val="24"/>
          <w:szCs w:val="24"/>
        </w:rPr>
        <w:t>ходимость ранней профориентации работников и удержание сотрудников в компании.</w:t>
      </w:r>
    </w:p>
    <w:p w14:paraId="00000005" w14:textId="77777777" w:rsidR="00191EFA" w:rsidRDefault="00C111A9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«В условиях дефицита кадров и низкой безработицы работодателям следует учиться работать не только с лучшими, но и со всеми работниками, раскрывая их потенциал на 100 %. Для нас </w:t>
      </w:r>
      <w:r>
        <w:rPr>
          <w:sz w:val="24"/>
          <w:szCs w:val="24"/>
        </w:rPr>
        <w:t xml:space="preserve">главный источник будущих побед — это люди. Поэтому мы обозначили в «Видении Росатома-2030» цель стать лучшими в раскрытии человеческого потенциала. Наша экосистема раскрытия кадрового потенциала охватывает всех: от учащихся детских садов до представителей </w:t>
      </w:r>
      <w:r>
        <w:rPr>
          <w:sz w:val="24"/>
          <w:szCs w:val="24"/>
        </w:rPr>
        <w:t>«серебряного» возраста. Наша задача — помочь каждому сотруднику максимально реализоваться в профессии, создав условия, в которых человек захочет и сможет постоянно учиться и развиваться. При этом подходить к задаче следует прагматически, понимая, что инвес</w:t>
      </w:r>
      <w:r>
        <w:rPr>
          <w:sz w:val="24"/>
          <w:szCs w:val="24"/>
        </w:rPr>
        <w:t xml:space="preserve">тиции, которые мы вкладываем в человеческий капитал, будут направлены на достижение целей компании», — отметила генеральный директор Корпоративной Академии Юлия </w:t>
      </w:r>
      <w:proofErr w:type="spellStart"/>
      <w:r>
        <w:rPr>
          <w:sz w:val="24"/>
          <w:szCs w:val="24"/>
        </w:rPr>
        <w:t>Ужакина</w:t>
      </w:r>
      <w:proofErr w:type="spellEnd"/>
      <w:r>
        <w:rPr>
          <w:sz w:val="24"/>
          <w:szCs w:val="24"/>
        </w:rPr>
        <w:t>.</w:t>
      </w:r>
    </w:p>
    <w:p w14:paraId="00000006" w14:textId="77777777" w:rsidR="00191EFA" w:rsidRDefault="00C111A9">
      <w:pPr>
        <w:spacing w:before="280" w:after="28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 w14:paraId="00000007" w14:textId="77777777" w:rsidR="00191EFA" w:rsidRDefault="00C111A9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Корпоративная Академия Росатома — специализированная образовательная компания</w:t>
      </w:r>
      <w:r>
        <w:rPr>
          <w:i/>
          <w:sz w:val="24"/>
          <w:szCs w:val="24"/>
        </w:rPr>
        <w:t xml:space="preserve"> Госкорпорации «Росатом», ключевое звено системы корпоративного образования, центр развития лидеров и корпоративной культуры. Была основана в 2012 году. Ее роль — поддерживать процессы повышения квалификации на предприятиях Росатома, реализовывать образова</w:t>
      </w:r>
      <w:r>
        <w:rPr>
          <w:i/>
          <w:sz w:val="24"/>
          <w:szCs w:val="24"/>
        </w:rPr>
        <w:t>тельные проекты для студентов и школьников.</w:t>
      </w:r>
      <w:hyperlink r:id="rId4">
        <w:r>
          <w:rPr>
            <w:i/>
            <w:sz w:val="24"/>
            <w:szCs w:val="24"/>
            <w:u w:val="single"/>
          </w:rPr>
          <w:t xml:space="preserve"> www.rosatom-academy.ru</w:t>
        </w:r>
      </w:hyperlink>
    </w:p>
    <w:p w14:paraId="00000008" w14:textId="77777777" w:rsidR="00191EFA" w:rsidRDefault="00C111A9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Инвестиции в человеческий капитал сегодня становятся одним из важнейших факторов развития не только компаний, но и всей с</w:t>
      </w:r>
      <w:r>
        <w:rPr>
          <w:i/>
          <w:sz w:val="24"/>
          <w:szCs w:val="24"/>
        </w:rPr>
        <w:t>траны. Одна из национальных целей развития страны до 2030 года — создание возможностей для самореализации и развития талантов. Крупные отечественные компании ведут планомерную работу с кадровым резервом, расширяют возможности по прохождению стажировок, пра</w:t>
      </w:r>
      <w:r>
        <w:rPr>
          <w:i/>
          <w:sz w:val="24"/>
          <w:szCs w:val="24"/>
        </w:rPr>
        <w:t>ктики. Росатом и его предприятия принимают активное участие в этой деятельности.</w:t>
      </w:r>
    </w:p>
    <w:p w14:paraId="00000009" w14:textId="77777777" w:rsidR="00191EFA" w:rsidRDefault="00191EFA">
      <w:pPr>
        <w:rPr>
          <w:i/>
          <w:sz w:val="24"/>
          <w:szCs w:val="24"/>
        </w:rPr>
      </w:pPr>
    </w:p>
    <w:p w14:paraId="0000000A" w14:textId="77777777" w:rsidR="00191EFA" w:rsidRDefault="00191EFA"/>
    <w:sectPr w:rsidR="00191EF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EFA"/>
    <w:rsid w:val="00191EFA"/>
    <w:rsid w:val="00C1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B1F11-D5B8-4E1E-BAD5-AC258BDE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mastermail.ru/owa/UrlBlockedErro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2023-10-02T10:55:00Z</dcterms:created>
  <dcterms:modified xsi:type="dcterms:W3CDTF">2023-10-02T10:55:00Z</dcterms:modified>
</cp:coreProperties>
</file>