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Инжиниринговый дивизион Росатома поддержал создание Ресурсного центра безопасности в гимназии № 1 Островца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Инжиниринговый дивизион Госкорпорации «Росатом» поддержал создание Ресурсного центра безопасности в государственном учреждении образования «Гимназия № 1 г. Островца Гродненской области».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Специалисты центра научат воспитанников гимназии правилам безопасного поведения в городе, помогут приобрести навыки выживания в лесу, на озере, в горах и преодолевать любые сложные или неприятные ситуации, связанные с природными и техногенными опасностями.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Педагогический коллектив, родительская общественность и юные гимназисты выражают искреннюю благодарность вице-президенту АО АСЭ — директору проекта по сооружению Белорусской АЭС Виталию Полянину за поддержку инициатив в создании безопасной среды в гимназии.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«Очень важно со школьной скамьи формировать культуру безопасного поведения. В наше время стремительного развития технологий растет и количество угроз, да и подростки зачастую склонны к созданию рискованных ситуаций и участию в них. И если они будут знать о последствиях, о том, как беспечность может повредить их здоровью и здоровью окружающих, они станут более ответственно вести себя на дорогах, в общественных местах, на природе, а в дальнейшем и на работе. Надеемся, что педагоги Ресурсного центра безопасности помогут сформировать у детей приверженность к здоровому образу жизни, научат не растеряться в чрезвычайных ситуациях, ценить и защищать свою жизнь», — отметил Виталий Полянин.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Справка: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— АО «Атомэнергопроект» (Московский, Нижегородский, Санкт-Петербургский филиалы — проектные институты, филиалы в России и за рубежом, изыскательские филиалы) и дочерние строительные организации.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Порядка 80 % выручки дивизиона составляют зарубежные проекты.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Multi-D-технологии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Мы строим надежные и безопасные АЭС с реакторами типа ВВЭР поколения </w:t>
      </w:r>
      <w:r>
        <w:rPr>
          <w:rFonts w:eastAsia="Times New Roman" w:cs="Times New Roman" w:ascii="Times New Roman" w:hAnsi="Times New Roman"/>
          <w:sz w:val="24"/>
          <w:szCs w:val="24"/>
        </w:rPr>
        <w:t>III+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, которые отвечают всем международным требованиям и рекомендациям.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hyperlink r:id="rId2">
        <w:r>
          <w:rPr>
            <w:rFonts w:eastAsia="Times New Roman" w:cs="Times New Roman" w:ascii="Times New Roman" w:hAnsi="Times New Roman"/>
            <w:i/>
            <w:color w:val="0000FF"/>
            <w:sz w:val="24"/>
            <w:szCs w:val="24"/>
            <w:u w:val="single"/>
          </w:rPr>
          <w:t>www.ase-ec.ru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1A1A1A"/>
          <w:sz w:val="28"/>
          <w:szCs w:val="28"/>
          <w:highlight w:val="white"/>
        </w:rPr>
        <w:t>Правительство РФ и крупные российские компании уделяют большое внимание развитию отношений со странами-партнерами. Эта деятельность включает в себя образовательные и культурные программы, экономическое и научное сотрудничество, улучшение условий жизни и развитие инфраструктуры в регионах присутствия. Предприятия Госкорпорации «Росатом» принимают активное участие в этой работе.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/>
      </w:r>
    </w:p>
    <w:sectPr>
      <w:type w:val="nextPage"/>
      <w:pgSz w:w="11906" w:h="16838"/>
      <w:pgMar w:left="1276" w:right="566" w:gutter="0" w:header="0" w:top="426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SimSun">
    <w:charset w:val="01"/>
    <w:family w:val="swiss"/>
    <w:pitch w:val="default"/>
  </w:font>
  <w:font w:name="Georgi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ru-RU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сновной шрифт абзаца1"/>
    <w:qFormat/>
    <w:rPr/>
  </w:style>
  <w:style w:type="character" w:styleId="-">
    <w:name w:val="Hyperlink"/>
    <w:uiPriority w:val="99"/>
    <w:rPr>
      <w:color w:val="0000FF"/>
      <w:u w:val="single"/>
    </w:rPr>
  </w:style>
  <w:style w:type="character" w:styleId="Style8" w:customStyle="1">
    <w:name w:val="Текст Знак"/>
    <w:qFormat/>
    <w:rPr>
      <w:rFonts w:ascii="Tahoma" w:hAnsi="Tahoma" w:cs="Tahoma"/>
      <w:lang w:val="ru-RU" w:eastAsia="ar-SA" w:bidi="ar-SA"/>
    </w:rPr>
  </w:style>
  <w:style w:type="character" w:styleId="12" w:customStyle="1">
    <w:name w:val="Знак примечания1"/>
    <w:qFormat/>
    <w:rPr>
      <w:sz w:val="16"/>
      <w:szCs w:val="16"/>
    </w:rPr>
  </w:style>
  <w:style w:type="character" w:styleId="Style9" w:customStyle="1">
    <w:name w:val="Текст примечания Знак"/>
    <w:qFormat/>
    <w:rPr>
      <w:rFonts w:ascii="Calibri" w:hAnsi="Calibri" w:eastAsia="Calibri" w:cs="Calibri"/>
    </w:rPr>
  </w:style>
  <w:style w:type="character" w:styleId="Style10" w:customStyle="1">
    <w:name w:val="Тема примечания Знак"/>
    <w:qFormat/>
    <w:rPr>
      <w:rFonts w:ascii="Calibri" w:hAnsi="Calibri" w:eastAsia="Calibri" w:cs="Calibri"/>
      <w:b/>
      <w:bCs/>
    </w:rPr>
  </w:style>
  <w:style w:type="character" w:styleId="Style11" w:customStyle="1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Основной текст Знак"/>
    <w:qFormat/>
    <w:rPr>
      <w:rFonts w:ascii="Calibri" w:hAnsi="Calibri" w:eastAsia="Calibri" w:cs="Calibri"/>
      <w:sz w:val="22"/>
      <w:szCs w:val="22"/>
    </w:rPr>
  </w:style>
  <w:style w:type="character" w:styleId="13" w:customStyle="1">
    <w:name w:val="Текст выноски Знак1"/>
    <w:basedOn w:val="DefaultParagraphFont"/>
    <w:link w:val="BalloonText"/>
    <w:uiPriority w:val="99"/>
    <w:semiHidden/>
    <w:qFormat/>
    <w:rsid w:val="00303d25"/>
    <w:rPr>
      <w:rFonts w:ascii="Tahoma" w:hAnsi="Tahoma" w:eastAsia="Calibri" w:cs="Tahoma"/>
      <w:sz w:val="16"/>
      <w:szCs w:val="16"/>
      <w:lang w:eastAsia="ar-S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8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14" w:customStyle="1">
    <w:name w:val="Заголовок1"/>
    <w:basedOn w:val="Normal"/>
    <w:next w:val="Style14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15" w:customStyle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Указатель1"/>
    <w:basedOn w:val="Normal"/>
    <w:qFormat/>
    <w:pPr>
      <w:suppressLineNumbers/>
    </w:pPr>
    <w:rPr>
      <w:rFonts w:cs="Lucida Sans"/>
    </w:rPr>
  </w:style>
  <w:style w:type="paragraph" w:styleId="17" w:customStyle="1">
    <w:name w:val="Обычный (веб)1"/>
    <w:basedOn w:val="Normal"/>
    <w:qFormat/>
    <w:pPr>
      <w:spacing w:lineRule="atLeast" w:line="100" w:before="100" w:after="100"/>
    </w:pPr>
    <w:rPr>
      <w:rFonts w:ascii="Times New Roman" w:hAnsi="Times New Roman"/>
      <w:sz w:val="24"/>
      <w:szCs w:val="24"/>
    </w:rPr>
  </w:style>
  <w:style w:type="paragraph" w:styleId="18" w:customStyle="1">
    <w:name w:val="Текст1"/>
    <w:basedOn w:val="Normal"/>
    <w:qFormat/>
    <w:pPr>
      <w:spacing w:lineRule="atLeast" w:line="100" w:before="0" w:after="0"/>
    </w:pPr>
    <w:rPr>
      <w:rFonts w:ascii="Tahoma" w:hAnsi="Tahoma" w:eastAsia="Times New Roman" w:cs="Tahoma"/>
      <w:sz w:val="20"/>
      <w:szCs w:val="20"/>
    </w:rPr>
  </w:style>
  <w:style w:type="paragraph" w:styleId="HTML1" w:customStyle="1">
    <w:name w:val="Стандартный HTML1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tLeast" w:line="100" w:before="0" w:after="0"/>
    </w:pPr>
    <w:rPr>
      <w:rFonts w:ascii="SimSun" w:hAnsi="SimSun" w:eastAsia="SimSun" w:cs="SimSu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4"/>
      <w:szCs w:val="24"/>
      <w:lang w:eastAsia="ar-SA" w:val="ru-RU" w:bidi="hi-IN"/>
    </w:rPr>
  </w:style>
  <w:style w:type="paragraph" w:styleId="19" w:customStyle="1">
    <w:name w:val="Без интервал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ru-RU" w:bidi="hi-IN"/>
    </w:rPr>
  </w:style>
  <w:style w:type="paragraph" w:styleId="110" w:customStyle="1">
    <w:name w:val="Текст примечания1"/>
    <w:basedOn w:val="Normal"/>
    <w:qFormat/>
    <w:pPr/>
    <w:rPr>
      <w:sz w:val="20"/>
      <w:szCs w:val="20"/>
      <w:lang w:val="en-US"/>
    </w:rPr>
  </w:style>
  <w:style w:type="paragraph" w:styleId="111" w:customStyle="1">
    <w:name w:val="Тема примечания1"/>
    <w:basedOn w:val="110"/>
    <w:qFormat/>
    <w:pPr/>
    <w:rPr>
      <w:b/>
      <w:bCs/>
    </w:rPr>
  </w:style>
  <w:style w:type="paragraph" w:styleId="112" w:customStyle="1">
    <w:name w:val="Текст выноски1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  <w:lang w:val="en-US"/>
    </w:rPr>
  </w:style>
  <w:style w:type="paragraph" w:styleId="113" w:customStyle="1">
    <w:name w:val="Рецензия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ar-SA" w:val="ru-RU" w:bidi="hi-IN"/>
    </w:rPr>
  </w:style>
  <w:style w:type="paragraph" w:styleId="Style61" w:customStyle="1">
    <w:name w:val="style6"/>
    <w:basedOn w:val="Normal"/>
    <w:qFormat/>
    <w:pPr>
      <w:spacing w:lineRule="atLeast" w:line="100" w:before="100" w:after="100"/>
    </w:pPr>
    <w:rPr>
      <w:rFonts w:ascii="Times New Roman" w:hAnsi="Times New Roman" w:eastAsia="Times New Roman"/>
      <w:b/>
      <w:bCs/>
      <w:sz w:val="27"/>
      <w:szCs w:val="27"/>
    </w:rPr>
  </w:style>
  <w:style w:type="paragraph" w:styleId="BalloonText">
    <w:name w:val="Balloon Text"/>
    <w:basedOn w:val="Normal"/>
    <w:link w:val="13"/>
    <w:uiPriority w:val="99"/>
    <w:semiHidden/>
    <w:unhideWhenUsed/>
    <w:qFormat/>
    <w:rsid w:val="00303d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e-ec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dwsoXr+tucGoPqa29I2w7GCjcA==">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DocSecurity>0</DocSecurity>
  <Pages>2</Pages>
  <Words>374</Words>
  <Characters>2640</Characters>
  <CharactersWithSpaces>3006</CharactersWithSpaces>
  <Paragraphs>13</Paragraphs>
  <Company>NIAEP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2020-08-10T08:04:00Z</dcterms:created>
  <dc:creator>Герасимова</dc:creator>
  <dc:description/>
  <dc:language>ru-RU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