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b/>
          <w:color w:val="222222"/>
          <w:highlight w:val="white"/>
        </w:rPr>
      </w:pPr>
      <w:r>
        <w:rPr>
          <w:b/>
          <w:color w:val="222222"/>
          <w:highlight w:val="white"/>
        </w:rPr>
        <w:t>Студенты из 14 регионов России поучаствовали во всероссийской стройке Росатома «Мирный атом — ТРИНИТИ»</w:t>
      </w:r>
    </w:p>
    <w:p>
      <w:pPr>
        <w:pStyle w:val="Normal1"/>
        <w:rPr/>
      </w:pPr>
      <w:r>
        <w:rPr/>
      </w:r>
    </w:p>
    <w:p>
      <w:pPr>
        <w:pStyle w:val="Normal1"/>
        <w:rPr>
          <w:color w:val="222222"/>
          <w:highlight w:val="white"/>
        </w:rPr>
      </w:pPr>
      <w:r>
        <w:rPr>
          <w:color w:val="222222"/>
          <w:highlight w:val="white"/>
        </w:rPr>
        <w:t>Завершился первый трудовой семестр Всероссийской студенческой стройки, организованный на площадке Троицкого института инновационных и термоядерных исследований» (АО «ГНЦ РФ ТРИНИТИ», входит в Росатом).</w:t>
      </w:r>
    </w:p>
    <w:p>
      <w:pPr>
        <w:pStyle w:val="Normal1"/>
        <w:rPr/>
      </w:pPr>
      <w:r>
        <w:rPr/>
      </w:r>
    </w:p>
    <w:p>
      <w:pPr>
        <w:pStyle w:val="Normal1"/>
        <w:rPr>
          <w:color w:val="222222"/>
          <w:highlight w:val="white"/>
        </w:rPr>
      </w:pPr>
      <w:r>
        <w:rPr>
          <w:color w:val="222222"/>
          <w:highlight w:val="white"/>
        </w:rPr>
        <w:t>Церемония закрытия состоялась 25 августа на площадке крупнейшего строительного вуза России и многолетнего партнера Росатома — Национального исследовательского Московского государственного строительного университета (НИУ МГСУ).</w:t>
      </w:r>
    </w:p>
    <w:p>
      <w:pPr>
        <w:pStyle w:val="Normal1"/>
        <w:rPr/>
      </w:pPr>
      <w:r>
        <w:rPr/>
      </w:r>
    </w:p>
    <w:p>
      <w:pPr>
        <w:pStyle w:val="Normal1"/>
        <w:rPr>
          <w:color w:val="222222"/>
          <w:highlight w:val="white"/>
        </w:rPr>
      </w:pPr>
      <w:r>
        <w:rPr>
          <w:color w:val="222222"/>
          <w:highlight w:val="white"/>
        </w:rPr>
        <w:t>В трудовом семестре участвовали 208 студентов в возрасте от 18 до 25 лет из 14 регионов России — от Москвы до Челябинска.</w:t>
      </w:r>
    </w:p>
    <w:p>
      <w:pPr>
        <w:pStyle w:val="Normal1"/>
        <w:rPr/>
      </w:pPr>
      <w:r>
        <w:rPr/>
      </w:r>
    </w:p>
    <w:p>
      <w:pPr>
        <w:pStyle w:val="Normal1"/>
        <w:rPr>
          <w:color w:val="222222"/>
          <w:highlight w:val="white"/>
        </w:rPr>
      </w:pPr>
      <w:r>
        <w:rPr>
          <w:color w:val="222222"/>
          <w:highlight w:val="white"/>
        </w:rPr>
        <w:t>На строительной площадке АО «ГНЦ РФ ТРИНИТИ» молодые специалисты выполняли арматурные, бетонные, отделочные, малярные, штукатурные, подсобные работы, а также трудились в производственно-техническом и инженерно-техническом отделах.</w:t>
      </w:r>
    </w:p>
    <w:p>
      <w:pPr>
        <w:pStyle w:val="Normal1"/>
        <w:rPr/>
      </w:pPr>
      <w:r>
        <w:rPr/>
      </w:r>
    </w:p>
    <w:p>
      <w:pPr>
        <w:pStyle w:val="Normal1"/>
        <w:rPr>
          <w:color w:val="222222"/>
          <w:highlight w:val="white"/>
        </w:rPr>
      </w:pPr>
      <w:r>
        <w:rPr>
          <w:color w:val="222222"/>
          <w:highlight w:val="white"/>
        </w:rPr>
        <w:t>«Ребята показали высокий уровень производительности труда и качественное выполнение заданий. Надеюсь, что желание поработать в студенческих отрядах в итоге заложит фундамент успешной карьеры в Госкорпорации «Росатом». Конечно, мы будем рады пригласить на работу в АО «ГНЦ РФ ТРИНИТИ» амбициозных и заинтересованных ребят после окончания вузов, чтобы продолжить работу на современном термоядерном комплексе, который станет площадкой для отработки технических решений создаваемой термоядерной энергетики будущего, а также на других площадках института в рамках создания плазменных двигателей, высокотехнологичного оборудования для медицины и других наукоемких отраслей экономики», — поздравил студентов с отличным завершением трудового семестра на площадке института генеральный директор ГНЦ РФ ТРИНИТИ Кирилл Ильин.</w:t>
      </w:r>
    </w:p>
    <w:p>
      <w:pPr>
        <w:pStyle w:val="Normal1"/>
        <w:rPr/>
      </w:pPr>
      <w:r>
        <w:rPr/>
      </w:r>
    </w:p>
    <w:p>
      <w:pPr>
        <w:pStyle w:val="Normal1"/>
        <w:rPr>
          <w:color w:val="222222"/>
          <w:highlight w:val="white"/>
        </w:rPr>
      </w:pPr>
      <w:r>
        <w:rPr>
          <w:color w:val="222222"/>
          <w:highlight w:val="white"/>
        </w:rPr>
        <w:t>В период студенческой стройки для студентов было организовано пять спортивных мероприятий и десять культурно-массовых праздников. По итогам трудового семестра выбраны отряды-лидеры по совокупности показателей, производственной деятельности и комиссарской работе, а также определены лучшие командир, комиссар, мастер и боец от каждого отряда.</w:t>
      </w:r>
    </w:p>
    <w:p>
      <w:pPr>
        <w:pStyle w:val="Normal1"/>
        <w:rPr/>
      </w:pPr>
      <w:r>
        <w:rPr/>
      </w:r>
    </w:p>
    <w:p>
      <w:pPr>
        <w:pStyle w:val="Normal1"/>
        <w:rPr>
          <w:color w:val="222222"/>
          <w:highlight w:val="white"/>
        </w:rPr>
      </w:pPr>
      <w:r>
        <w:rPr>
          <w:color w:val="222222"/>
          <w:highlight w:val="white"/>
        </w:rPr>
        <w:t>«От лица «Оргэнергостроя» и от себя лично хочу выразить благодарность всем участникам первой Всероссийской студенческой стройки на площадке реконструкции термоядерного комплекса АО «ГНЦ РФ ТРИНИТИ» не только за демонстрацию высоких результатов, но также за доверие, которое вы проявили к нам в качестве принимающей стороны. Отрадно видеть такую вовлеченность молодого поколения и желание развиваться в профессии не только в стенах учебных заведений, но и на практике», — прокомментировал генеральный директор АО «Институт «Оргэнергострой» Элгуджа Кокосадзе (организация — генеральный подрядчик проекта реконструкции и модернизации термоядерного комплекса «ГНЦ РФ ТРИНИТИ»).</w:t>
      </w:r>
    </w:p>
    <w:p>
      <w:pPr>
        <w:pStyle w:val="Normal1"/>
        <w:rPr/>
      </w:pPr>
      <w:r>
        <w:rPr/>
      </w:r>
    </w:p>
    <w:p>
      <w:pPr>
        <w:pStyle w:val="Normal1"/>
        <w:rPr>
          <w:color w:val="222222"/>
          <w:highlight w:val="white"/>
        </w:rPr>
      </w:pPr>
      <w:r>
        <w:rPr>
          <w:color w:val="222222"/>
          <w:highlight w:val="white"/>
        </w:rPr>
        <w:t>Для справки:</w:t>
      </w:r>
    </w:p>
    <w:p>
      <w:pPr>
        <w:pStyle w:val="Normal1"/>
        <w:rPr/>
      </w:pPr>
      <w:r>
        <w:rPr/>
      </w:r>
    </w:p>
    <w:p>
      <w:pPr>
        <w:pStyle w:val="Normal1"/>
        <w:rPr>
          <w:color w:val="222222"/>
          <w:highlight w:val="white"/>
        </w:rPr>
      </w:pPr>
      <w:r>
        <w:rPr>
          <w:color w:val="222222"/>
          <w:highlight w:val="white"/>
        </w:rPr>
        <w:t>Строительные студенческие отряды в рамках трудового летнего семестра на базе АО «ГНЦ РФ ТРИНИТИ» участвовали в подготовке инфраструктуры для будущей установки — токамака с реакторными технологиями (ТРТ). Он разрабатывается как полномасштабный прототип будущего термоядерного реактора/источника нейтронов и предназначен для исследования поведения плазмы в квазистационарных режимах, близких к зажиганию, исследования и отработки различных методов дополнительного нагрева плазмы, топливообеспечения, бланкетных технологий, разработки новых диагностик, работающих в больших нейтронных потоках, освоения тритиевой технологии. К концу 2024 года в «ГНЦ РФ ТРИНИТИ» планируют завершить первый этап реконструкции термоядерного комплекса, необходимого для создания энергетической инфраструктуры будущей установки.</w:t>
      </w:r>
    </w:p>
    <w:p>
      <w:pPr>
        <w:pStyle w:val="Normal1"/>
        <w:rPr/>
      </w:pPr>
      <w:r>
        <w:rPr/>
      </w:r>
    </w:p>
    <w:p>
      <w:pPr>
        <w:pStyle w:val="Normal1"/>
        <w:rPr>
          <w:color w:val="222222"/>
          <w:highlight w:val="white"/>
        </w:rPr>
      </w:pPr>
      <w:r>
        <w:rPr>
          <w:color w:val="222222"/>
          <w:highlight w:val="white"/>
        </w:rPr>
        <w:t>Комплексная программа «Развитие техники, технологий и научных исследований в области использования атомной энергии в РФ» (КП РТТН) разработана Госкорпорацией «Росатом» совместно с НИЦ «Курчатовский институт», Российской академией наук, Министерством науки и высшего образования РФ. Она включает разработку новых передовых технологий и материалов, образцов новой техники, техническое перевооружение, строительство уникальных комплексов и объектов инфраструктуры в области атомной энергетики и управления реакциями термоядерного синтеза, а также атомных станций малой мощности.</w:t>
      </w:r>
    </w:p>
    <w:p>
      <w:pPr>
        <w:pStyle w:val="Normal1"/>
        <w:rPr/>
      </w:pPr>
      <w:r>
        <w:rPr/>
      </w:r>
    </w:p>
    <w:p>
      <w:pPr>
        <w:pStyle w:val="Normal1"/>
        <w:rPr>
          <w:color w:val="222222"/>
          <w:highlight w:val="white"/>
        </w:rPr>
      </w:pPr>
      <w:r>
        <w:rPr>
          <w:color w:val="222222"/>
          <w:highlight w:val="white"/>
        </w:rPr>
        <w:t>В настоящее время практически ни одна крупная стройка Росатома не обходится без участия бойцов строительных отрядов. Первый студенческий стройотряд Росатома был сформирован при строительстве энергоблока № 2 Ростовской АЭС в 2008 году и состоял из 20 человек. В 2014 году Госкорпорация «Росатом» и Молодежная общероссийская общественная организация «Российские студенческие отряды» (МООО РСО) подписали соглашение о сотрудничестве, что придало импульс развитию движения стройотрядов.</w:t>
      </w:r>
    </w:p>
    <w:p>
      <w:pPr>
        <w:pStyle w:val="Normal1"/>
        <w:rPr/>
      </w:pPr>
      <w:r>
        <w:rPr/>
      </w:r>
    </w:p>
    <w:p>
      <w:pPr>
        <w:pStyle w:val="Normal1"/>
        <w:rPr>
          <w:color w:val="222222"/>
          <w:highlight w:val="white"/>
        </w:rPr>
      </w:pPr>
      <w:r>
        <w:rPr>
          <w:color w:val="222222"/>
          <w:highlight w:val="white"/>
        </w:rPr>
        <w:t>Кураторами Межрегиональной студенческой стройки «Мирный атом» выступают ОЦКС Росатома, Департамент кадровой политики Госкорпорации «Росатом» совместно с АНО «Корпоративная академия Росатома» и РСО. Проект призван способствовать максимальному раскрытию потенциала студентов, их практическому знакомству с отраслевым строительным комплексом и предприятиями Росатома.</w:t>
      </w:r>
    </w:p>
    <w:p>
      <w:pPr>
        <w:pStyle w:val="Normal1"/>
        <w:rPr/>
      </w:pPr>
      <w:r>
        <w:rPr/>
      </w:r>
    </w:p>
    <w:p>
      <w:pPr>
        <w:pStyle w:val="Normal1"/>
        <w:rPr>
          <w:color w:val="222222"/>
          <w:highlight w:val="white"/>
        </w:rPr>
      </w:pPr>
      <w:r>
        <w:rPr>
          <w:color w:val="222222"/>
          <w:highlight w:val="white"/>
        </w:rPr>
        <w:t>В 2023 году на стройки было привлечено более 2 тыс. студентов, впервые ребята трудились на трех новых площадках — АО «ГНЦ РФ ТРИНИТИ», ЦКП «СКИФ» и Национальный центр физики и математики.</w:t>
      </w:r>
    </w:p>
    <w:p>
      <w:pPr>
        <w:pStyle w:val="Normal1"/>
        <w:rPr>
          <w:color w:val="222222"/>
          <w:highlight w:val="white"/>
        </w:rPr>
      </w:pPr>
      <w:r>
        <w:rPr>
          <w:color w:val="222222"/>
          <w:highlight w:val="white"/>
        </w:rPr>
      </w:r>
    </w:p>
    <w:p>
      <w:pPr>
        <w:pStyle w:val="Normal1"/>
        <w:rPr>
          <w:color w:val="222222"/>
          <w:highlight w:val="white"/>
        </w:rPr>
      </w:pPr>
      <w:r>
        <w:rPr>
          <w:color w:val="222222"/>
          <w:highlight w:val="white"/>
        </w:rPr>
        <w:t>В общей сложности за годы действия движения в Росатоме школу студенческих отрядов прошли более 15 тыс. молодых специалистов на строительных отечественных и зарубежных площадках. По результатам профориентационных мероприятий в отрасль было трудоустроено более 300 молодых специалистов.</w:t>
      </w:r>
    </w:p>
    <w:p>
      <w:pPr>
        <w:pStyle w:val="Normal1"/>
        <w:rPr/>
      </w:pPr>
      <w:r>
        <w:rPr/>
      </w:r>
    </w:p>
    <w:p>
      <w:pPr>
        <w:pStyle w:val="Normal1"/>
        <w:rPr>
          <w:color w:val="222222"/>
          <w:highlight w:val="white"/>
        </w:rPr>
      </w:pPr>
      <w:r>
        <w:rPr>
          <w:color w:val="222222"/>
          <w:highlight w:val="white"/>
        </w:rPr>
        <w:t>В 2023 году Росатом отмечает 15-летие движения стройотрядов в атомной отрасли. Запланирован ряд торжественных мероприятий, проведение выставочных экспозиций с представлением опыта стройотрядов атомной отрасли в рамках мероприятий РСО.</w:t>
      </w:r>
    </w:p>
    <w:p>
      <w:pPr>
        <w:pStyle w:val="Normal1"/>
        <w:rPr/>
      </w:pPr>
      <w:r>
        <w:rPr/>
      </w:r>
    </w:p>
    <w:p>
      <w:pPr>
        <w:pStyle w:val="Normal1"/>
        <w:rPr/>
      </w:pPr>
      <w:r>
        <w:rPr>
          <w:color w:val="222222"/>
          <w:highlight w:val="white"/>
        </w:rPr>
        <w:t>Правительство России и крупные российские компании уделяют большое внимание планомерной работе по раскрытию потенциала студентов и молодых сотрудников. Росатом и его предприятия участвуют в создании базовых кафедр в российских вузах, реализации стипендиальных программ поддержки, крупных образовательных проектов, организации практики и стажировки для студентов с последующим их трудоустройством. Молодые специалисты в рамках движения стройотрядов получают новые полезные навыки, что помогает им в дальнейшем карьерном росте.</w:t>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751</Words>
  <Characters>5433</Characters>
  <CharactersWithSpaces>6175</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