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hd w:val="clear" w:fill="FFFFFF"/>
        <w:spacing w:lineRule="auto" w:line="240" w:before="0" w:after="360"/>
        <w:rPr>
          <w:b/>
          <w:color w:val="222222"/>
        </w:rPr>
      </w:pPr>
      <w:r>
        <w:rPr>
          <w:b/>
          <w:color w:val="222222"/>
        </w:rPr>
        <w:t>Росатом считает перспективным внедрение квантовых технологий в управление городами</w:t>
      </w:r>
    </w:p>
    <w:p>
      <w:pPr>
        <w:pStyle w:val="Normal1"/>
        <w:shd w:val="clear" w:fill="FFFFFF"/>
        <w:spacing w:lineRule="auto" w:line="240" w:before="0" w:after="120"/>
        <w:jc w:val="both"/>
        <w:rPr>
          <w:color w:val="222222"/>
        </w:rPr>
      </w:pPr>
      <w:r>
        <w:rPr>
          <w:color w:val="222222"/>
        </w:rPr>
        <w:t>Росатом считает перспективным применение квантовых технологий для эффективного управления мегаполисами и полагает важным регулирование «цифры» для ее более безопасного использования.</w:t>
      </w:r>
    </w:p>
    <w:p>
      <w:pPr>
        <w:pStyle w:val="Normal1"/>
        <w:shd w:val="clear" w:fill="FFFFFF"/>
        <w:spacing w:lineRule="auto" w:line="240" w:before="0" w:after="120"/>
        <w:jc w:val="both"/>
        <w:rPr>
          <w:color w:val="222222"/>
        </w:rPr>
      </w:pPr>
      <w:r>
        <w:rPr>
          <w:color w:val="222222"/>
        </w:rPr>
        <w:t xml:space="preserve">Об этом рассказала директор по цифровизации Госкорпорации «Росатом» </w:t>
      </w:r>
      <w:r>
        <w:rPr>
          <w:b/>
          <w:color w:val="222222"/>
        </w:rPr>
        <w:t>Екатерина Солнцева</w:t>
      </w:r>
      <w:r>
        <w:rPr>
          <w:color w:val="222222"/>
        </w:rPr>
        <w:t xml:space="preserve"> в рамках Диалога лидеров «Квантовый контроль. Большие данные в управлении городским развитием» в рамках Московского урбанистического форума.</w:t>
      </w:r>
    </w:p>
    <w:p>
      <w:pPr>
        <w:pStyle w:val="Normal1"/>
        <w:shd w:val="clear" w:fill="FFFFFF"/>
        <w:spacing w:lineRule="auto" w:line="240" w:before="0" w:after="120"/>
        <w:jc w:val="both"/>
        <w:rPr>
          <w:color w:val="222222"/>
        </w:rPr>
      </w:pPr>
      <w:r>
        <w:rPr>
          <w:color w:val="222222"/>
        </w:rPr>
        <w:t>Урбанистика — именно та сфера деятельности, в которой может произойти значительный рывок при появлении квантовых вычислений: «Квантовый компьютер может стать особенно полезным в решении задач развития крупных мегаполисов. Некоторые задачи эффективного развития городской среды — в области использования больших данных, оптимизации, разведения транспортных потоков, сложных вопросов логистики, товарной доставки — сложно решить даже с применением суперкомпьютеров».</w:t>
      </w:r>
    </w:p>
    <w:p>
      <w:pPr>
        <w:pStyle w:val="Normal1"/>
        <w:shd w:val="clear" w:fill="FFFFFF"/>
        <w:spacing w:lineRule="auto" w:line="240" w:before="0" w:after="120"/>
        <w:jc w:val="both"/>
        <w:rPr>
          <w:color w:val="222222"/>
        </w:rPr>
      </w:pPr>
      <w:r>
        <w:rPr>
          <w:color w:val="222222"/>
        </w:rPr>
        <w:t>Москва, обладающая высоким уровнем цифровой зрелости и культуры, стала одним из первых городов, который приступил к изысканиям в области применения квантовых технологий для развития городского хозяйства, включая инфраструктуру и системы управления, а в июле этого года на Форуме будущих технологий Мэр Москвы Сергей Собянин объявил о создании Московского квантового кластера.</w:t>
      </w:r>
    </w:p>
    <w:p>
      <w:pPr>
        <w:pStyle w:val="Normal1"/>
        <w:shd w:val="clear" w:fill="FFFFFF"/>
        <w:spacing w:lineRule="auto" w:line="240" w:before="0" w:after="120"/>
        <w:jc w:val="both"/>
        <w:rPr>
          <w:color w:val="222222"/>
        </w:rPr>
      </w:pPr>
      <w:r>
        <w:rPr>
          <w:color w:val="222222"/>
        </w:rPr>
        <w:t xml:space="preserve">«Сегодня Москва — пример мегаполиса, в полной мере использующего большие данные и цифровые разработки для стремительного развития комфортной городской среды в интересах людей». Качество московской цифровой инфраструктуры и сервисов зримо проявляется в сравнении с крупными городами развитых стран. «Здесь российская столица, безусловно, лидирует. Этот тренд может получить еще более мощное развитие на новом технологическом витке — благодаря применению квантовых вычислений», — подчеркнула </w:t>
      </w:r>
      <w:r>
        <w:rPr>
          <w:b/>
          <w:color w:val="222222"/>
        </w:rPr>
        <w:t>Екатерина Солнцева</w:t>
      </w:r>
      <w:r>
        <w:rPr>
          <w:color w:val="222222"/>
        </w:rPr>
        <w:t>, отметив, что уже в ближайшем будущем развитие городов будет определяться уровнем и объемом внедрения цифровых технологий в жизнь мегаполиса.</w:t>
      </w:r>
    </w:p>
    <w:p>
      <w:pPr>
        <w:pStyle w:val="Normal1"/>
        <w:shd w:val="clear" w:fill="FFFFFF"/>
        <w:spacing w:lineRule="auto" w:line="240" w:before="0" w:after="120"/>
        <w:jc w:val="both"/>
        <w:rPr>
          <w:color w:val="222222"/>
        </w:rPr>
      </w:pPr>
      <w:r>
        <w:rPr>
          <w:color w:val="222222"/>
        </w:rPr>
        <w:t>Отвечая на вопрос о возможных рисках внедрения цифровых технологий в различные сферы жизнедеятельности человека, включая городскую среду, представитель Росатома отметила, что дальнейшее усиление роли «цифры» неизбежно и человечеству следует научиться грамотно использовать ее положительный потенциал. Вместе с тем для более безопасного применения цифровых технологий необходимо на международном уровне выработать свод этических и юридических правил, которые будут регулировать деятельность в этой области.</w:t>
      </w:r>
    </w:p>
    <w:p>
      <w:pPr>
        <w:pStyle w:val="Normal1"/>
        <w:shd w:val="clear" w:fill="FFFFFF"/>
        <w:spacing w:lineRule="auto" w:line="240" w:before="0" w:after="120"/>
        <w:jc w:val="both"/>
        <w:rPr>
          <w:color w:val="222222"/>
        </w:rPr>
      </w:pPr>
      <w:r>
        <w:rPr>
          <w:color w:val="222222"/>
        </w:rPr>
        <w:t xml:space="preserve">«Стоит взять на вооружение опыт атомной энергетики и обеспечить на мировом уровне регулирование «цифры» подобно тому, как ранее была решена задача использования атомной энергии по единым для всего мира правилам. В свое время появилось МАГАТЭ, которое контролирует развитие атомных технологий. Я полагаю, что на следующем шаге мир придет к аналогичной модели в области цифровых технологий — не за горами тот день, когда этот вопрос пора будет вынести на международное обсуждение», — заключила </w:t>
      </w:r>
      <w:r>
        <w:rPr>
          <w:b/>
          <w:color w:val="222222"/>
        </w:rPr>
        <w:t>Екатерина Солнцева</w:t>
      </w:r>
      <w:r>
        <w:rPr>
          <w:color w:val="222222"/>
        </w:rPr>
        <w:t>.</w:t>
      </w:r>
    </w:p>
    <w:p>
      <w:pPr>
        <w:pStyle w:val="Normal1"/>
        <w:shd w:val="clear" w:fill="FFFFFF"/>
        <w:rPr>
          <w:color w:val="222222"/>
        </w:rPr>
      </w:pPr>
      <w:r>
        <w:rPr>
          <w:color w:val="222222"/>
        </w:rPr>
        <w:t xml:space="preserve">Для справки: </w:t>
      </w:r>
    </w:p>
    <w:p>
      <w:pPr>
        <w:pStyle w:val="Normal1"/>
        <w:shd w:val="clear" w:fill="FFFFFF"/>
        <w:rPr>
          <w:color w:val="222222"/>
        </w:rPr>
      </w:pPr>
      <w:r>
        <w:rPr>
          <w:color w:val="222222"/>
        </w:rPr>
      </w:r>
    </w:p>
    <w:p>
      <w:pPr>
        <w:pStyle w:val="Normal1"/>
        <w:shd w:val="clear" w:fill="FFFFFF"/>
        <w:spacing w:lineRule="auto" w:line="240" w:before="0" w:after="60"/>
        <w:jc w:val="both"/>
        <w:rPr>
          <w:color w:val="222222"/>
        </w:rPr>
      </w:pPr>
      <w:r>
        <w:rPr>
          <w:b/>
          <w:color w:val="222222"/>
        </w:rPr>
        <w:t xml:space="preserve">Госкорпорация «Росатом» </w:t>
      </w:r>
      <w:r>
        <w:rPr>
          <w:color w:val="222222"/>
        </w:rPr>
        <w:t xml:space="preserve">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человек. С 2018 года реализует единую цифровую стратегию (ЕЦС),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нацпрограммы «Цифровая экономика РФ»; выступает компанией-лидером реализации правительственной дорожной карты по развитию высокотехнологичной области «Новое индустриальное программное обеспечение»; с 2021 года реализует первый российский проект по импортозамещению целого класса промышленного ПО — систем инженерного анализа и математического моделирования (САЕ-класс); с 2022 года выступает координатором проекта по созданию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— в портфеле Росатома более </w:t>
      </w:r>
      <w:hyperlink r:id="rId2">
        <w:r>
          <w:rPr>
            <w:color w:val="1155CC"/>
            <w:u w:val="single"/>
          </w:rPr>
          <w:t>60 цифровых продуктов</w:t>
        </w:r>
      </w:hyperlink>
      <w:r>
        <w:rPr>
          <w:color w:val="222222"/>
        </w:rPr>
        <w:t>. В направлении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нейротехнологии и искусственный интеллект,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и конкурсы профессионального мастерства по теме цифровизации.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satomcatalog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582</Words>
  <Characters>4266</Characters>
  <CharactersWithSpaces>4850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