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spacing w:lineRule="auto" w:line="240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Росатом примет участие в масштабной реконструкции городской инфраструктуры Озерска</w:t>
      </w:r>
    </w:p>
    <w:p>
      <w:pPr>
        <w:pStyle w:val="Normal1"/>
        <w:shd w:val="clear" w:fill="FFFFFF"/>
        <w:spacing w:lineRule="auto" w:line="240" w:before="240" w:after="240"/>
        <w:ind w:firstLine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присутствии губернатора Челябинской области Алексея Текслера 22 августа состоялось подписание программы развития Озерского городского округа «Наш дом — наш двор — наш город». Она включает в себя комплексную инфраструктурную реконструкцию и обновление городского облика Озерска. Подписи под документом поставили глава Озерского городского округа Евгений Щербаков и генеральный директор ПО «Маяк» Андрей Порошин.</w:t>
      </w:r>
    </w:p>
    <w:p>
      <w:pPr>
        <w:pStyle w:val="Normal1"/>
        <w:shd w:val="clear" w:fill="FFFFFF"/>
        <w:spacing w:lineRule="auto" w:line="240" w:before="240" w:after="240"/>
        <w:ind w:firstLine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«По сути, мы с вами запускаем программу масштабной реновации Озерска, комплексной инфраструктурной реконструкции и обновления городского облика. За три года проведем коренную модернизацию всей дорожной системы города, улиц, тротуаров, а также пешеходных зон, дворовых территорий. На эти цели запланировали средства из двух источников. Общий объем программы на сегодняшний момент составляет 225 млн рублей: 50 млн ежегодно выделяет бюджет области, 25 млн — ПО «Маяк». Думаю, что и по мере реализации будем пересматривать, скорее всего, в сторону увеличения финансирование этого проекта», — отметил после церемонии подписания Алексей Текслер.</w:t>
      </w:r>
    </w:p>
    <w:p>
      <w:pPr>
        <w:pStyle w:val="Normal1"/>
        <w:shd w:val="clear" w:fill="FFFFFF"/>
        <w:spacing w:lineRule="auto" w:line="240" w:before="240" w:after="240"/>
        <w:ind w:firstLine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«ПО «Маяк» всегда было неотрывно связано с городом. На заре становления атомной промышленности наши отцы-основатели уже это понимали, даже драматический театр у нас в городе открылся раньше, чем был запущен первый атомный реактор. Важно, что программа развития Озерска будет реализовываться совместно: и область, и городская администрация, и наше предприятие — все вовлечены в этот процесс, а самое главное, что в него вовлечены горожане, потому что предложения, которые вошли в основу программы, обсуждались и формировались с жителями. Рассчитываем, что программа получит соответствующее развитие и будет успешно реализована», — рассказал генеральный директор ПО «Маяк» Андрей Порошин.</w:t>
      </w:r>
    </w:p>
    <w:p>
      <w:pPr>
        <w:pStyle w:val="Normal1"/>
        <w:shd w:val="clear" w:fill="FFFFFF"/>
        <w:spacing w:lineRule="auto" w:line="240" w:before="240" w:after="240"/>
        <w:ind w:firstLine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Реализация программы на условиях софинансирования стала возможна благодаря договоренности губернатора Алексея Текслера и генерального директора Госкорпорации «Росатом» Алексея Лихачева. Таким образом, Озерск стал пилотным проектом в стране. В дальнейшем возможно тиражирование подобной практики на другие ЗАТО как в регионе, так и по стране.</w:t>
      </w:r>
    </w:p>
    <w:p>
      <w:pPr>
        <w:pStyle w:val="Normal1"/>
        <w:shd w:val="clear" w:fill="FFFFFF"/>
        <w:spacing w:lineRule="auto" w:line="240" w:before="240" w:after="240"/>
        <w:ind w:firstLine="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 словам главы Озерского городского округа Евгения Щербакова, данный проект улучшит качество жизни горожан, будут отремонтированы дворовые проезды (порядка 137 дворов будут вовлечены в этот процесс), отремонтировано более 117 тыс. кв. м тротуаров, уложено новое полотно во дворах, что позволит значительно улучшить внешний облик не только улиц, но и всего города в целом.</w:t>
      </w:r>
    </w:p>
    <w:p>
      <w:pPr>
        <w:pStyle w:val="Normal1"/>
        <w:shd w:val="clear" w:fill="FFFFFF"/>
        <w:spacing w:lineRule="auto" w:line="240" w:before="240" w:after="240"/>
        <w:ind w:firstLine="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Справка:</w:t>
      </w:r>
    </w:p>
    <w:p>
      <w:pPr>
        <w:pStyle w:val="Normal1"/>
        <w:shd w:val="clear" w:fill="FFFFFF"/>
        <w:spacing w:lineRule="auto" w:line="240" w:before="240" w:after="240"/>
        <w:ind w:firstLine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страны. Эта деятельность включает в себя ускорение реализации национальных проектов, комплексное улучшение жилищных условий граждан, повышение уровня доступности медицины, развитие инфраструктуры. Росатом и его предприятия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383</Words>
  <Characters>2567</Characters>
  <CharactersWithSpaces>2948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