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color w:val="222222"/>
          <w:highlight w:val="white"/>
        </w:rPr>
      </w:pPr>
      <w:r>
        <w:rPr>
          <w:b/>
          <w:color w:val="222222"/>
          <w:highlight w:val="white"/>
        </w:rPr>
        <w:t>На «Технопроме-2023» обсудили возможности научной кооперации Национального центра физики и математики с регионами</w:t>
      </w:r>
    </w:p>
    <w:p>
      <w:pPr>
        <w:pStyle w:val="Normal1"/>
        <w:rPr/>
      </w:pPr>
      <w:r>
        <w:rPr/>
      </w:r>
    </w:p>
    <w:p>
      <w:pPr>
        <w:pStyle w:val="Normal1"/>
        <w:rPr>
          <w:color w:val="222222"/>
          <w:highlight w:val="white"/>
        </w:rPr>
      </w:pPr>
      <w:r>
        <w:rPr>
          <w:color w:val="222222"/>
          <w:highlight w:val="white"/>
        </w:rPr>
        <w:t>23 августа в рамках юбилейного, Х Международного форума технологического развития «Технопром-2023» состоялась стратегическая сессия Национального центра физики и математики (НЦФМ) «Научная кооперация Национального центра физики и математики — регионы-лидеры и новые регионы».</w:t>
      </w:r>
    </w:p>
    <w:p>
      <w:pPr>
        <w:pStyle w:val="Normal1"/>
        <w:rPr/>
      </w:pPr>
      <w:r>
        <w:rPr/>
      </w:r>
    </w:p>
    <w:p>
      <w:pPr>
        <w:pStyle w:val="Normal1"/>
        <w:rPr>
          <w:color w:val="222222"/>
          <w:highlight w:val="white"/>
        </w:rPr>
      </w:pPr>
      <w:r>
        <w:rPr>
          <w:color w:val="222222"/>
          <w:highlight w:val="white"/>
        </w:rPr>
        <w:t>Научный руководитель Национального центра физики и математики академик РАН Александр Сергеев отметил, что выстраиваемая научная кооперация НЦФМ, в которую уже входят 57 научных, образовательных и высокотехнологичных организаций России, нацелена на научно-технологическое обеспечение не только атомной промышленности, но и всей страны.</w:t>
      </w:r>
    </w:p>
    <w:p>
      <w:pPr>
        <w:pStyle w:val="Normal1"/>
        <w:rPr/>
      </w:pPr>
      <w:r>
        <w:rPr/>
      </w:r>
    </w:p>
    <w:p>
      <w:pPr>
        <w:pStyle w:val="Normal1"/>
        <w:rPr>
          <w:color w:val="222222"/>
          <w:highlight w:val="white"/>
        </w:rPr>
      </w:pPr>
      <w:r>
        <w:rPr>
          <w:color w:val="222222"/>
          <w:highlight w:val="white"/>
        </w:rPr>
        <w:t xml:space="preserve">«Современная наука с новыми фундаментальными результатами реализуется на сложной и крупной научной инфраструктуре. Поэтому необходимо создавать в стране определенную концентрацию усилий, средств и мозгов в определенном месте. Росатом сегодня берет на себя ответственность за развитие новых технологических направлений и отраслей экономики в России: есть понимание необходимости решать эти задачи, и есть возможность это сделать. На мировом рынке сегодня побеждает тот, кто может получать новые знания в области фундаментальной науки и использовать их в прикладном значении. Эти факторы легли в основу идеи создания Национального центра физики и математики в Сарове при поддержке Росатома», — отметил научный руководитель НЦФМ академик РАН Александр Сергеев. </w:t>
      </w:r>
    </w:p>
    <w:p>
      <w:pPr>
        <w:pStyle w:val="Normal1"/>
        <w:rPr/>
      </w:pPr>
      <w:r>
        <w:rPr/>
      </w:r>
    </w:p>
    <w:p>
      <w:pPr>
        <w:pStyle w:val="Normal1"/>
        <w:rPr>
          <w:color w:val="222222"/>
          <w:highlight w:val="white"/>
        </w:rPr>
      </w:pPr>
      <w:r>
        <w:rPr>
          <w:color w:val="222222"/>
          <w:highlight w:val="white"/>
        </w:rPr>
        <w:t>На сегодняшний день научную кооперацию НЦФМ составляют 57 научных организаций, вузов и высокотехнологичных компаний со всей России: МГУ им. М. В. Ломоносова, НИЯУ «МИФИ», РХТУ им. Д. И. Менделеева, НГТУ им. Н. И. Лобачевского, ИЯФ им. Г. И. Будкера СО РАН, ИКИ РАН, РФЯЦ-ВНИИЭФ и др. В рамках взаимодействия формируются коллективы ученых и инженеров для создания и эксплуатации новейшей научно-экспериментальной базы с установками класса миди-сайенс и мегасайенс, проведения научно-исследовательских работ и получения результатов мирового уровня по направлениям: ядерная физика, газодинамика, физика высоких плотностей энергий, физика частиц и космология, астрофизика, развитие искусственного интеллекта, создание суперкомпьютеров и др.</w:t>
      </w:r>
    </w:p>
    <w:p>
      <w:pPr>
        <w:pStyle w:val="Normal1"/>
        <w:rPr/>
      </w:pPr>
      <w:r>
        <w:rPr/>
      </w:r>
    </w:p>
    <w:p>
      <w:pPr>
        <w:pStyle w:val="Normal1"/>
        <w:rPr>
          <w:color w:val="222222"/>
          <w:highlight w:val="white"/>
        </w:rPr>
      </w:pPr>
      <w:r>
        <w:rPr>
          <w:color w:val="222222"/>
          <w:highlight w:val="white"/>
        </w:rPr>
        <w:t>Генеральный директор Фонда поддержки проектов Национальной технологической инициативы Вадим Медведев подчеркнул, что физика и математика являются базовыми науками, способствующими технологическому развитию России. По его мнению, важно организовать процесс научной кооперации таким образом, чтобы на базе полученных знаний открывались новые высокотехнологичные предприятия, рождались новые продукты, обеспечивающие безопасность и лучшие условия жизни для россиян.</w:t>
      </w:r>
    </w:p>
    <w:p>
      <w:pPr>
        <w:pStyle w:val="Normal1"/>
        <w:rPr/>
      </w:pPr>
      <w:r>
        <w:rPr/>
      </w:r>
    </w:p>
    <w:p>
      <w:pPr>
        <w:pStyle w:val="Normal1"/>
        <w:rPr>
          <w:color w:val="222222"/>
          <w:highlight w:val="white"/>
        </w:rPr>
      </w:pPr>
      <w:r>
        <w:rPr>
          <w:color w:val="222222"/>
          <w:highlight w:val="white"/>
        </w:rPr>
        <w:t>«Практический результат должен быть востребован сегодня — и создавать задел на будущее. Если мы найдем путь, как это осуществить, то мы добьемся успеха в поставленной цели. Считаю, что НЦФМ — один из важнейших научно-технологических проектов, который мы в ближайшей перспективе реализуем. Поэтому искренне желаю всем участникам дискуссии быть эффективными в практических результатах», — отметил Вадим Медведев.</w:t>
      </w:r>
    </w:p>
    <w:p>
      <w:pPr>
        <w:pStyle w:val="Normal1"/>
        <w:rPr/>
      </w:pPr>
      <w:r>
        <w:rPr/>
      </w:r>
    </w:p>
    <w:p>
      <w:pPr>
        <w:pStyle w:val="Normal1"/>
        <w:rPr>
          <w:color w:val="222222"/>
          <w:highlight w:val="white"/>
        </w:rPr>
      </w:pPr>
      <w:r>
        <w:rPr>
          <w:color w:val="222222"/>
          <w:highlight w:val="white"/>
        </w:rPr>
        <w:t>В дискуссии также приняли участие заместитель Губернатора Новосибирской области Ирина Мануйлова, советник Губернатора Нижегородской области по науке и образованию Юрий Фомин, директор Института теоретической физики им. Л. Д. Ландау РАН Игорь Колоколов, ректор Донецкого национального технического университета (ДонНТУ) Александр Аноприенко, заведующий кафедрой прикладной математики Института информационных технологий, математики и механики Нижегородского государственного университета им. Н. И. Лобачевского (ННГУ) Михаил Иванченко, руководитель проектного офиса по управлению УТС ЧУ «Наука и инновации» Андрей Аникеев. Модератором стратсессии выступил директор по управлению научно-техническими программами частного учреждения по обеспечению научного развития атомной отрасли «Наука и инновации», заместитель директора по науке АНО «НЦФМ» Михаил Романовский.</w:t>
      </w:r>
    </w:p>
    <w:p>
      <w:pPr>
        <w:pStyle w:val="Normal1"/>
        <w:rPr/>
      </w:pPr>
      <w:r>
        <w:rPr/>
      </w:r>
    </w:p>
    <w:p>
      <w:pPr>
        <w:pStyle w:val="Normal1"/>
        <w:rPr>
          <w:color w:val="222222"/>
          <w:highlight w:val="white"/>
        </w:rPr>
      </w:pPr>
      <w:r>
        <w:rPr>
          <w:color w:val="222222"/>
          <w:highlight w:val="white"/>
        </w:rPr>
        <w:t>В завершении встречи участники дискуссии отметили, что соборность — важная составляющая российского менталитета, в том числе в сфере объединения ученых различных научных центров, организаций и регионов с целью решения общих задач научно-технологического развития страны. Участвуя в реализации научной программы Национального центра физики и математики, представители университетов, научных институтов, наукоемких компаний, студенты и молодые специалисты выстраивают необходимую кооперацию, способную обеспечить достижение важных для страны научных целей.</w:t>
      </w:r>
    </w:p>
    <w:p>
      <w:pPr>
        <w:pStyle w:val="Normal1"/>
        <w:rPr/>
      </w:pPr>
      <w:r>
        <w:rPr/>
      </w:r>
    </w:p>
    <w:p>
      <w:pPr>
        <w:pStyle w:val="Normal1"/>
        <w:rPr>
          <w:color w:val="222222"/>
          <w:highlight w:val="white"/>
        </w:rPr>
      </w:pPr>
      <w:r>
        <w:rPr>
          <w:color w:val="222222"/>
          <w:highlight w:val="white"/>
        </w:rPr>
        <w:t>Для справки:</w:t>
      </w:r>
    </w:p>
    <w:p>
      <w:pPr>
        <w:pStyle w:val="Normal1"/>
        <w:rPr/>
      </w:pPr>
      <w:r>
        <w:rPr/>
      </w:r>
    </w:p>
    <w:p>
      <w:pPr>
        <w:pStyle w:val="Normal1"/>
        <w:rPr>
          <w:color w:val="222222"/>
          <w:highlight w:val="white"/>
        </w:rPr>
      </w:pPr>
      <w:r>
        <w:rPr>
          <w:color w:val="222222"/>
          <w:highlight w:val="white"/>
        </w:rPr>
        <w:t>Международный форум технологического развития «ТЕХНОПРОМ» проходит в десятый раз. Темой 2023 года стала «Наука, технология, индустрия в основе развития регионов». В мероприятиях форума принимают участие более 20 тыс. человек, делегаты из стран ближнего и дальнего зарубежья, в том числе из Республики Беларусь, Республики Иран, стран Азии и Африки. Организаторами форума выступают Правительство РФ, Минпромторг и Минобрнауки РФ, правительство Новосибирской области, Сибирское отделение Российской академии наук.</w:t>
      </w:r>
    </w:p>
    <w:p>
      <w:pPr>
        <w:pStyle w:val="Normal1"/>
        <w:rPr/>
      </w:pPr>
      <w:r>
        <w:rPr/>
      </w:r>
    </w:p>
    <w:p>
      <w:pPr>
        <w:pStyle w:val="Normal1"/>
        <w:rPr>
          <w:color w:val="222222"/>
          <w:highlight w:val="white"/>
        </w:rPr>
      </w:pPr>
      <w:r>
        <w:rPr>
          <w:color w:val="222222"/>
          <w:highlight w:val="white"/>
        </w:rPr>
        <w:t>Национальный центр физики и математики (НЦФМ) является флагманским проектом Десятилетия науки и технологий. В Сарове (Нижегородская обл.) на территории НЦФМ возводится комплекс из научно-исследовательских корпусов, передовых лабораторий и установок класса миди-сайенс и мегасайенс с целью получения новых научных результатов мирового уровня, подготовки ученых высшей квалификации, воспитания новых научно-технологических лидеров, укрепления кадрового потенциала предприятий Госкорпорации «Росатом» и ключевых научных организаций России.</w:t>
      </w:r>
    </w:p>
    <w:p>
      <w:pPr>
        <w:pStyle w:val="Normal1"/>
        <w:rPr>
          <w:color w:val="222222"/>
          <w:highlight w:val="white"/>
        </w:rPr>
      </w:pPr>
      <w:r>
        <w:rPr>
          <w:color w:val="222222"/>
          <w:highlight w:val="white"/>
        </w:rPr>
        <w:t xml:space="preserve">Образовательной частью Национального центра стал филиал Московского государственного университета им. М. В. Ломоносова — МГУ Саров. Учредители НЦФМ — Госкорпорация «Росатом», МГУ им. М. В. Ломоносова, РАН, Министерство науки и высшего образования России, РФЯЦ-ВНИИЭФ, НИЦ «Курчатовский институт» и ОИЯИ. Группы НЦФМ в социальных сетях: </w:t>
      </w:r>
      <w:hyperlink r:id="rId2">
        <w:r>
          <w:rPr>
            <w:color w:val="1155CC"/>
            <w:highlight w:val="white"/>
            <w:u w:val="single"/>
          </w:rPr>
          <w:t>https://vk.com/ncphm</w:t>
        </w:r>
      </w:hyperlink>
      <w:r>
        <w:rPr>
          <w:color w:val="222222"/>
          <w:highlight w:val="white"/>
        </w:rPr>
        <w:t xml:space="preserve">,  </w:t>
      </w:r>
      <w:hyperlink r:id="rId3">
        <w:r>
          <w:rPr>
            <w:color w:val="1155CC"/>
            <w:highlight w:val="white"/>
            <w:u w:val="single"/>
          </w:rPr>
          <w:t>t.me/ncphm_sarov</w:t>
        </w:r>
      </w:hyperlink>
      <w:r>
        <w:rPr>
          <w:color w:val="222222"/>
          <w:highlight w:val="white"/>
        </w:rPr>
        <w:t>.</w:t>
      </w:r>
    </w:p>
    <w:p>
      <w:pPr>
        <w:pStyle w:val="Normal1"/>
        <w:rPr/>
      </w:pPr>
      <w:r>
        <w:rPr/>
      </w:r>
    </w:p>
    <w:p>
      <w:pPr>
        <w:pStyle w:val="Normal1"/>
        <w:rPr>
          <w:color w:val="222222"/>
          <w:highlight w:val="white"/>
        </w:rPr>
      </w:pPr>
      <w:r>
        <w:rPr>
          <w:color w:val="222222"/>
          <w:highlight w:val="white"/>
        </w:rPr>
        <w:t>Правительство РФ и крупные российские компании продолжают расширять спектр решений по раскрытию потенциала студентов и молодых сотрудников.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 Молодые специалисты получают новые полезные навыки, что помогает им в карьерном росте.</w:t>
      </w:r>
    </w:p>
    <w:p>
      <w:pPr>
        <w:pStyle w:val="Normal1"/>
        <w:rPr/>
      </w:pPr>
      <w:r>
        <w:rPr/>
      </w:r>
    </w:p>
    <w:p>
      <w:pPr>
        <w:pStyle w:val="Normal1"/>
        <w:rPr>
          <w:color w:val="222222"/>
          <w:highlight w:val="white"/>
        </w:rPr>
      </w:pPr>
      <w:r>
        <w:rPr>
          <w:color w:val="222222"/>
          <w:highlight w:val="white"/>
        </w:rPr>
        <w:t xml:space="preserve">Десятилетие науки и технологий в России (2022–2031, стартовавшее по Указу Президента) — это масштабная программа инициатив, проектов и мероприятий по ускоренному развитию экономики и социальной сферы через усиление роли науки и наукоемких технологий в стране. Основные цели Десятилетия — привлечение молодежи в сферу науки и технологий, вовлечение исследователей и разработчиков в решение важных задач для страны и общества, рост знания людей о достижениях Российской науки. Более подробная информация об инициативах, мероприятиях и проектах Десятилетия науки и технологий — на сайте </w:t>
      </w:r>
      <w:hyperlink r:id="rId4">
        <w:r>
          <w:rPr>
            <w:color w:val="1155CC"/>
            <w:highlight w:val="white"/>
            <w:u w:val="single"/>
          </w:rPr>
          <w:t>наука.рф</w:t>
        </w:r>
      </w:hyperlink>
      <w:r>
        <w:rPr>
          <w:color w:val="222222"/>
          <w:highlight w:val="white"/>
        </w:rPr>
        <w:t>. Оператор проведения Десятилетия науки и технологий — АНО «Национальные приоритеты».</w:t>
      </w:r>
    </w:p>
    <w:p>
      <w:pPr>
        <w:pStyle w:val="Normal1"/>
        <w:rPr/>
      </w:pPr>
      <w:r>
        <w:rPr/>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ncphm" TargetMode="External"/><Relationship Id="rId3" Type="http://schemas.openxmlformats.org/officeDocument/2006/relationships/hyperlink" Target="https://t.me/ncphm_sarov" TargetMode="External"/><Relationship Id="rId4" Type="http://schemas.openxmlformats.org/officeDocument/2006/relationships/hyperlink" Target="https://xn--80aa3ak5a.xn--p1ai/"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865</Words>
  <Characters>6223</Characters>
  <CharactersWithSpaces>7086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