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sz w:val="28"/>
          <w:szCs w:val="28"/>
        </w:rPr>
        <w:t>Выдана лицензия на сооружение энергоблока № 4 АЭС «Эль-Дабаа»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Совет директоров Управления по ядерному и радиологическому регулированию Арабской Республики Египет (ENRRA) на своем заседании 30 августа 2023 года принял решение о выдаче лицензии на строительство энергоблока № 4 АЭС «Эль-Дабаа» (генеральный проектировщик и генеральный подрядчик — Инжиниринговый дивизион Госкорпорации «Росатом»).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Глава Совета директоров ENRRA Сами Шабаан заявил, что Управление по ядерному и радиологическому регулированию Египта осуществляет свою постоянную роль регулятора в процессе строительства первого, второго и третьего энергоблоков через систему инспекторов, присутствующих на объекте.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 30 июля по 2 августа 2023 года комиссией ENRRA проводилась комплексная инспекция с целью проверки готовности к началу процесса сооружения четвертого энергоблока с реакторной установкой ВВЭР-1200, которые относятся к поколению III+ и соответствуют самым высоким международным требованиям эффективности и безопасности.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 результатам инспекции комиссией была подтверждена безопасность строительства четвертого энергоблока </w:t>
      </w:r>
      <w:r>
        <w:rPr>
          <w:rFonts w:eastAsia="Arial" w:cs="Arial" w:ascii="Arial" w:hAnsi="Arial"/>
          <w:color w:val="333333"/>
          <w:sz w:val="20"/>
          <w:szCs w:val="20"/>
          <w:highlight w:val="white"/>
        </w:rPr>
        <w:t xml:space="preserve">— </w:t>
      </w:r>
      <w:r>
        <w:rPr>
          <w:rFonts w:eastAsia="Times New Roman" w:cs="Times New Roman" w:ascii="Times New Roman" w:hAnsi="Times New Roman"/>
          <w:sz w:val="28"/>
          <w:szCs w:val="28"/>
        </w:rPr>
        <w:t>вреда для окружающей среды не обнаружено.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 заседании совета директоров ENRRA было принято решение на выдачу лицензии на строительство четвертого энергоблока АЭС «Эль-Дабаа».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Управление по ядерному и радиологическому регулированию Египта продолжит свою работу по проверке обязательств Управления по атомным электростанциям Египта (NPPA) в соответствии с условиями предоставленного разрешения и регулирующим контролем реализации этапа строительства и производства оборудования, а также будет проводить необходимые инспекции в рамках роли ENRRA в проверке безопасности людей, окружающей среды и имущества на всей территории Египта от возможных опасностей, а также в обеспечении содействия безопасному и мирному использованию ядерных технологий во всех аспектах развития.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«Процесс сооружения АЭС «Эль-Дабаа» идет в полном соответствии с графиком. Получение лицензии на строительство четвертого энергоблока — еще одна ключевая веха, которую мы достигли в этом году благодаря слаженной совместной работе Заказчика (NPPA) и Генподрядчика (АО АСЭ). Это значимый шаг, приближающий нас к ключевому событию — заливке «первого» бетона и старту сооружения четвертого энергоблока первой АЭС в Египте. Поздравляю всю многонациональную сплоченную команду проекта с этим достижением!», — прокомментировал вице-президент АО АСЭ, директор проекта по сооружению АЭС «Эль-Дабаа» Алексей Кононенко.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Разрешение на строительство первого энергоблока было выдано в июне 2022 года, второго — в октябре 2022 года, третьего — в марте 2023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Справка: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АЭС «Эль-Дабаа» — первая атомная электростанция в Египте, которая будет построена в городе Эль-Дабаа провинции Матрух на берегу Средиземного моря, примерно в 300 км к северо-западу от Каира. АЭС будет состоять из 4 энергоблоков мощностью по 1200 МВт каждый с реакторами типа ВВЭР-1200 (водо-водяной энергетический реактор) поколения III+. Это технология новейшего поколения, которая уже имеет референции и успешно работает. В России работают четыре блока с реакторами этого поколения: по два реактора — на площадках Нововоронежской и Ленинградской атомных электростанций. За пределами России в ноябре 2020 года к сети был подключен один энергоблок с реактором ВВЭР-1200 на Белорусской АЭС.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Сооружение АЭС осуществляется в соответствии с пакетом контрактов, вступивших в силу 11 декабря 2017 года. Согласно контрактным обязательствам российская сторона не только построит станцию, но и осуществит поставку российского ядерного топлива на весь жизненный цикл атомной электростанции, а также окажет египетским партнерам помощь в обучении персонала и поддержку в эксплуатации и сервисе станции на протяжении первых 10 лет ее работы. В рамках еще одного соглашения российская сторона построит специальное хранилище и поставит контейнеры для хранения отработавшего ядерного топлива.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Справка: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— АО «Атомэнергопроект» (Московский, Нижегородский, Санкт-Петербургский филиалы — проектные институты, филиалы в России и за рубежом, изыскательские филиалы) и дочерние строительные организации.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Порядка 80 % выручки дивизиона составляют зарубежные проекты.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Multi-D-технологии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Мы строим надежные и безопасные АЭС с реакторами типа ВВЭР поколения </w:t>
      </w:r>
      <w:r>
        <w:rPr>
          <w:rFonts w:eastAsia="Times New Roman" w:cs="Times New Roman" w:ascii="Times New Roman" w:hAnsi="Times New Roman"/>
          <w:sz w:val="24"/>
          <w:szCs w:val="24"/>
        </w:rPr>
        <w:t>III+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, которые отвечают всем международным требованиям и рекомендациям.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hyperlink r:id="rId2">
        <w:r>
          <w:rPr>
            <w:rFonts w:eastAsia="Times New Roman" w:cs="Times New Roman" w:ascii="Times New Roman" w:hAnsi="Times New Roman"/>
            <w:i/>
            <w:color w:val="0000FF"/>
            <w:sz w:val="24"/>
            <w:szCs w:val="24"/>
            <w:u w:val="single"/>
          </w:rPr>
          <w:t>www.ase-ec.ru</w:t>
        </w:r>
      </w:hyperlink>
    </w:p>
    <w:sectPr>
      <w:type w:val="nextPage"/>
      <w:pgSz w:w="11906" w:h="16838"/>
      <w:pgMar w:left="1276" w:right="566" w:gutter="0" w:header="0" w:top="426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  <w:font w:name="SimSun">
    <w:charset w:val="01"/>
    <w:family w:val="swiss"/>
    <w:pitch w:val="default"/>
  </w:font>
  <w:font w:name="Georgi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ar-SA" w:val="ru-RU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сновной шрифт абзаца1"/>
    <w:qFormat/>
    <w:rPr/>
  </w:style>
  <w:style w:type="character" w:styleId="-">
    <w:name w:val="Hyperlink"/>
    <w:uiPriority w:val="99"/>
    <w:rPr>
      <w:color w:val="0000FF"/>
      <w:u w:val="single"/>
    </w:rPr>
  </w:style>
  <w:style w:type="character" w:styleId="Style8" w:customStyle="1">
    <w:name w:val="Текст Знак"/>
    <w:qFormat/>
    <w:rPr>
      <w:rFonts w:ascii="Tahoma" w:hAnsi="Tahoma" w:cs="Tahoma"/>
      <w:lang w:val="ru-RU" w:eastAsia="ar-SA" w:bidi="ar-SA"/>
    </w:rPr>
  </w:style>
  <w:style w:type="character" w:styleId="12" w:customStyle="1">
    <w:name w:val="Знак примечания1"/>
    <w:qFormat/>
    <w:rPr>
      <w:sz w:val="16"/>
      <w:szCs w:val="16"/>
    </w:rPr>
  </w:style>
  <w:style w:type="character" w:styleId="Style9" w:customStyle="1">
    <w:name w:val="Текст примечания Знак"/>
    <w:qFormat/>
    <w:rPr>
      <w:rFonts w:ascii="Calibri" w:hAnsi="Calibri" w:eastAsia="Calibri" w:cs="Calibri"/>
    </w:rPr>
  </w:style>
  <w:style w:type="character" w:styleId="Style10" w:customStyle="1">
    <w:name w:val="Тема примечания Знак"/>
    <w:qFormat/>
    <w:rPr>
      <w:rFonts w:ascii="Calibri" w:hAnsi="Calibri" w:eastAsia="Calibri" w:cs="Calibri"/>
      <w:b/>
      <w:bCs/>
    </w:rPr>
  </w:style>
  <w:style w:type="character" w:styleId="Style11" w:customStyle="1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Style12" w:customStyle="1">
    <w:name w:val="Основной текст Знак"/>
    <w:qFormat/>
    <w:rPr>
      <w:rFonts w:ascii="Calibri" w:hAnsi="Calibri" w:eastAsia="Calibri" w:cs="Calibri"/>
      <w:sz w:val="22"/>
      <w:szCs w:val="22"/>
    </w:rPr>
  </w:style>
  <w:style w:type="character" w:styleId="13" w:customStyle="1">
    <w:name w:val="Текст выноски Знак1"/>
    <w:basedOn w:val="DefaultParagraphFont"/>
    <w:link w:val="BalloonText"/>
    <w:uiPriority w:val="99"/>
    <w:semiHidden/>
    <w:qFormat/>
    <w:rsid w:val="00303d25"/>
    <w:rPr>
      <w:rFonts w:ascii="Tahoma" w:hAnsi="Tahoma" w:eastAsia="Calibri" w:cs="Tahoma"/>
      <w:sz w:val="16"/>
      <w:szCs w:val="16"/>
      <w:lang w:eastAsia="ar-S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e5f83"/>
    <w:rPr>
      <w:sz w:val="16"/>
      <w:szCs w:val="16"/>
    </w:rPr>
  </w:style>
  <w:style w:type="character" w:styleId="14" w:customStyle="1">
    <w:name w:val="Текст примечания Знак1"/>
    <w:basedOn w:val="DefaultParagraphFont"/>
    <w:link w:val="Annotationtext"/>
    <w:uiPriority w:val="99"/>
    <w:semiHidden/>
    <w:qFormat/>
    <w:rsid w:val="009e5f83"/>
    <w:rPr>
      <w:rFonts w:ascii="Calibri" w:hAnsi="Calibri" w:eastAsia="Calibri"/>
      <w:lang w:eastAsia="ar-SA"/>
    </w:rPr>
  </w:style>
  <w:style w:type="character" w:styleId="15" w:customStyle="1">
    <w:name w:val="Тема примечания Знак1"/>
    <w:basedOn w:val="14"/>
    <w:link w:val="Annotationsubject"/>
    <w:uiPriority w:val="99"/>
    <w:semiHidden/>
    <w:qFormat/>
    <w:rsid w:val="009e5f83"/>
    <w:rPr>
      <w:rFonts w:ascii="Calibri" w:hAnsi="Calibri" w:eastAsia="Calibri"/>
      <w:b/>
      <w:bCs/>
      <w:lang w:eastAsia="ar-SA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8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16" w:customStyle="1">
    <w:name w:val="Заголовок1"/>
    <w:basedOn w:val="Normal"/>
    <w:next w:val="Style14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17" w:customStyle="1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8" w:customStyle="1">
    <w:name w:val="Указатель1"/>
    <w:basedOn w:val="Normal"/>
    <w:qFormat/>
    <w:pPr>
      <w:suppressLineNumbers/>
    </w:pPr>
    <w:rPr>
      <w:rFonts w:cs="Lucida Sans"/>
    </w:rPr>
  </w:style>
  <w:style w:type="paragraph" w:styleId="19" w:customStyle="1">
    <w:name w:val="Обычный (веб)1"/>
    <w:basedOn w:val="Normal"/>
    <w:qFormat/>
    <w:pPr>
      <w:spacing w:lineRule="atLeast" w:line="100" w:before="100" w:after="100"/>
    </w:pPr>
    <w:rPr>
      <w:rFonts w:ascii="Times New Roman" w:hAnsi="Times New Roman"/>
      <w:sz w:val="24"/>
      <w:szCs w:val="24"/>
    </w:rPr>
  </w:style>
  <w:style w:type="paragraph" w:styleId="110" w:customStyle="1">
    <w:name w:val="Текст1"/>
    <w:basedOn w:val="Normal"/>
    <w:qFormat/>
    <w:pPr>
      <w:spacing w:lineRule="atLeast" w:line="100" w:before="0" w:after="0"/>
    </w:pPr>
    <w:rPr>
      <w:rFonts w:ascii="Tahoma" w:hAnsi="Tahoma" w:eastAsia="Times New Roman" w:cs="Tahoma"/>
      <w:sz w:val="20"/>
      <w:szCs w:val="20"/>
    </w:rPr>
  </w:style>
  <w:style w:type="paragraph" w:styleId="HTML1" w:customStyle="1">
    <w:name w:val="Стандартный HTML1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100" w:before="0" w:after="0"/>
    </w:pPr>
    <w:rPr>
      <w:rFonts w:ascii="SimSun" w:hAnsi="SimSun" w:eastAsia="SimSun" w:cs="SimSu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4"/>
      <w:szCs w:val="24"/>
      <w:lang w:eastAsia="ar-SA" w:val="ru-RU" w:bidi="hi-IN"/>
    </w:rPr>
  </w:style>
  <w:style w:type="paragraph" w:styleId="111" w:customStyle="1">
    <w:name w:val="Без интервал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ar-SA" w:val="ru-RU" w:bidi="hi-IN"/>
    </w:rPr>
  </w:style>
  <w:style w:type="paragraph" w:styleId="112" w:customStyle="1">
    <w:name w:val="Текст примечания1"/>
    <w:basedOn w:val="Normal"/>
    <w:qFormat/>
    <w:pPr/>
    <w:rPr>
      <w:sz w:val="20"/>
      <w:szCs w:val="20"/>
      <w:lang w:val="en-US"/>
    </w:rPr>
  </w:style>
  <w:style w:type="paragraph" w:styleId="113" w:customStyle="1">
    <w:name w:val="Тема примечания1"/>
    <w:basedOn w:val="112"/>
    <w:qFormat/>
    <w:pPr/>
    <w:rPr>
      <w:b/>
      <w:bCs/>
    </w:rPr>
  </w:style>
  <w:style w:type="paragraph" w:styleId="114" w:customStyle="1">
    <w:name w:val="Текст выноски1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  <w:lang w:val="en-US"/>
    </w:rPr>
  </w:style>
  <w:style w:type="paragraph" w:styleId="115" w:customStyle="1">
    <w:name w:val="Рецензия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ar-SA" w:val="ru-RU" w:bidi="hi-IN"/>
    </w:rPr>
  </w:style>
  <w:style w:type="paragraph" w:styleId="Style61" w:customStyle="1">
    <w:name w:val="style6"/>
    <w:basedOn w:val="Normal"/>
    <w:qFormat/>
    <w:pPr>
      <w:spacing w:lineRule="atLeast" w:line="100" w:before="100" w:after="100"/>
    </w:pPr>
    <w:rPr>
      <w:rFonts w:ascii="Times New Roman" w:hAnsi="Times New Roman" w:eastAsia="Times New Roman"/>
      <w:b/>
      <w:bCs/>
      <w:sz w:val="27"/>
      <w:szCs w:val="27"/>
    </w:rPr>
  </w:style>
  <w:style w:type="paragraph" w:styleId="BalloonText">
    <w:name w:val="Balloon Text"/>
    <w:basedOn w:val="Normal"/>
    <w:link w:val="13"/>
    <w:uiPriority w:val="99"/>
    <w:semiHidden/>
    <w:unhideWhenUsed/>
    <w:qFormat/>
    <w:rsid w:val="00303d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14"/>
    <w:uiPriority w:val="99"/>
    <w:semiHidden/>
    <w:unhideWhenUsed/>
    <w:qFormat/>
    <w:rsid w:val="009e5f8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15"/>
    <w:uiPriority w:val="99"/>
    <w:semiHidden/>
    <w:unhideWhenUsed/>
    <w:qFormat/>
    <w:rsid w:val="009e5f83"/>
    <w:pPr/>
    <w:rPr>
      <w:b/>
      <w:bCs/>
    </w:rPr>
  </w:style>
  <w:style w:type="paragraph" w:styleId="Style19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e-ec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xUOqY2/GkFEVZ/RUazdnrHwklpA==">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DocSecurity>0</DocSecurity>
  <Pages>2</Pages>
  <Words>640</Words>
  <Characters>4392</Characters>
  <CharactersWithSpaces>5024</CharactersWithSpaces>
  <Paragraphs>19</Paragraphs>
  <Company>NIAEP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2023-03-29T15:25:00Z</dcterms:created>
  <dc:creator>Герасимова</dc:creator>
  <dc:description/>
  <dc:language>ru-RU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