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tabs>
          <w:tab w:val="clear" w:pos="720"/>
          <w:tab w:val="left" w:pos="8080" w:leader="none"/>
        </w:tabs>
        <w:spacing w:lineRule="auto" w:line="240" w:before="0" w:after="0"/>
        <w:ind w:left="4820" w:right="-22" w:hanging="0"/>
        <w:rPr>
          <w:rFonts w:ascii="Helvetica Neue" w:hAnsi="Helvetica Neue" w:eastAsia="Helvetica Neue" w:cs="Helvetica Neue"/>
          <w:sz w:val="22"/>
          <w:szCs w:val="22"/>
        </w:rPr>
      </w:pPr>
      <w:r>
        <w:rPr>
          <w:rFonts w:eastAsia="Helvetica Neue" w:cs="Helvetica Neue" w:ascii="Helvetica Neue" w:hAnsi="Helvetica Neue"/>
          <w:sz w:val="22"/>
          <w:szCs w:val="22"/>
        </w:rPr>
      </w:r>
    </w:p>
    <w:p>
      <w:pPr>
        <w:sectPr>
          <w:headerReference w:type="default" r:id="rId2"/>
          <w:type w:val="nextPage"/>
          <w:pgSz w:w="11906" w:h="16838"/>
          <w:pgMar w:left="1440" w:right="707" w:gutter="0" w:header="0" w:top="142" w:footer="0" w:bottom="398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18" w:before="57" w:after="57"/>
        <w:ind w:left="0" w:right="0" w:hanging="0"/>
        <w:jc w:val="both"/>
        <w:rPr>
          <w:rFonts w:ascii="Helvetica Neue" w:hAnsi="Helvetica Neue" w:eastAsia="Helvetica Neue" w:cs="Helvetica Neue"/>
          <w:b/>
          <w:i w:val="false"/>
          <w:i w:val="false"/>
          <w:caps w:val="false"/>
          <w:smallCaps w:val="false"/>
          <w:strike w:val="false"/>
          <w:dstrike w:val="false"/>
          <w:color w:val="343433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900 миллионов рублей на охрану окружающей среды — Ленинградская АЭС представила общественности данные по экологической безопасности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18" w:before="57" w:after="57"/>
        <w:ind w:left="0" w:right="0" w:hanging="0"/>
        <w:jc w:val="both"/>
        <w:rPr>
          <w:rFonts w:ascii="Helvetica Neue" w:hAnsi="Helvetica Neue" w:eastAsia="Helvetica Neue" w:cs="Helvetica Neu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18" w:before="57" w:after="57"/>
        <w:ind w:left="0" w:right="0" w:hanging="0"/>
        <w:jc w:val="both"/>
        <w:rPr>
          <w:rFonts w:ascii="Helvetica Neue" w:hAnsi="Helvetica Neue" w:eastAsia="Helvetica Neue" w:cs="Helvetica Neue"/>
          <w:i w:val="false"/>
          <w:i w:val="false"/>
          <w:caps w:val="false"/>
          <w:smallCaps w:val="false"/>
          <w:strike w:val="false"/>
          <w:dstrike w:val="false"/>
          <w:color w:val="343433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По итогам 2022 года доля воздействия предприятия на окружающую среду региона составила 0,12 % в общем объеме. Такие данные были представлены в ходе ежегодной публичной презентации экологического отчета Ленинградской АЭС. Помимо сведений о воздействии на окружающую среду, эксперты представили данные по обращению с радиоактивными отходами, системе контроля радиационной обстановки и природоохранной деятельности предприятия.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18" w:before="57" w:after="57"/>
        <w:ind w:left="0" w:right="0" w:hanging="0"/>
        <w:jc w:val="both"/>
        <w:rPr>
          <w:rFonts w:ascii="Helvetica Neue" w:hAnsi="Helvetica Neue" w:eastAsia="Helvetica Neue" w:cs="Helvetica Neu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18" w:before="57" w:after="57"/>
        <w:ind w:left="0" w:right="0" w:hanging="0"/>
        <w:jc w:val="both"/>
        <w:rPr>
          <w:rFonts w:ascii="Helvetica Neue" w:hAnsi="Helvetica Neue" w:eastAsia="Helvetica Neue" w:cs="Helvetica Neue"/>
          <w:i w:val="false"/>
          <w:i w:val="false"/>
          <w:caps w:val="false"/>
          <w:smallCaps w:val="false"/>
          <w:strike w:val="false"/>
          <w:dstrike w:val="false"/>
          <w:color w:val="343433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Половина средств из общего объема финансирования на охрану окружающей среды в 2022 году является инвестицией в основной капитал на поддержание работоспособности необходимого оборудования, на охрану и рациональное использование водных ресурсов Ленинградской АЭС, земель, лесных ресурсов. Другая часть — эксплуатационные затраты на охрану окружающей среды, которые направлены на сбор и очистку сточных вод, обращение с отходами производства, обеспечение радиационной безопасности, </w:t>
      </w:r>
      <w:r>
        <w:rPr>
          <w:rFonts w:eastAsia="Helvetica Neue" w:cs="Helvetica Neue" w:ascii="Helvetica Neue" w:hAnsi="Helvetica Neue"/>
          <w:color w:val="000000"/>
          <w:sz w:val="22"/>
          <w:szCs w:val="22"/>
        </w:rPr>
        <w:t>охрану атмосферного воздуха</w:t>
      </w: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и другие цели.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18" w:before="57" w:after="57"/>
        <w:ind w:left="0" w:right="0" w:hanging="0"/>
        <w:jc w:val="both"/>
        <w:rPr>
          <w:rFonts w:ascii="Helvetica Neue" w:hAnsi="Helvetica Neue" w:eastAsia="Helvetica Neue" w:cs="Helvetica Neu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18" w:before="57" w:after="57"/>
        <w:ind w:left="0" w:right="0" w:hanging="0"/>
        <w:jc w:val="both"/>
        <w:rPr>
          <w:rFonts w:ascii="Helvetica Neue" w:hAnsi="Helvetica Neue" w:eastAsia="Helvetica Neue" w:cs="Helvetica Neue"/>
          <w:i w:val="false"/>
          <w:i w:val="false"/>
          <w:caps w:val="false"/>
          <w:smallCaps w:val="false"/>
          <w:strike w:val="false"/>
          <w:dstrike w:val="false"/>
          <w:color w:val="343433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«Уровень влияния на атмосферу и динамику снижения выбросов вредных химических веществ минимальный. Заборы воды и вовсе оказывают на экологию скорее положительное влияние </w:t>
      </w:r>
      <w:r>
        <w:rPr>
          <w:rFonts w:eastAsia="Helvetica Neue" w:cs="Helvetica Neue" w:ascii="Helvetica Neue" w:hAnsi="Helvetica Neue"/>
          <w:color w:val="000000"/>
          <w:sz w:val="22"/>
          <w:szCs w:val="22"/>
        </w:rPr>
        <w:t>—</w:t>
      </w: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зачастую сбрасываемая вода гораздо чище, чем исходная. Что касается системы обращения с отходами, то работа в этом направлении ведется в соответствии с установленными требованиями </w:t>
      </w:r>
      <w:r>
        <w:rPr>
          <w:rFonts w:eastAsia="Helvetica Neue" w:cs="Helvetica Neue" w:ascii="Helvetica Neue" w:hAnsi="Helvetica Neue"/>
          <w:color w:val="000000"/>
          <w:sz w:val="22"/>
          <w:szCs w:val="22"/>
        </w:rPr>
        <w:t>—</w:t>
      </w: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отходы первого и второго классов утилизируются и перерабатываются, третьего и четвертого </w:t>
      </w:r>
      <w:r>
        <w:rPr>
          <w:rFonts w:eastAsia="Helvetica Neue" w:cs="Helvetica Neue" w:ascii="Helvetica Neue" w:hAnsi="Helvetica Neue"/>
          <w:color w:val="000000"/>
          <w:sz w:val="22"/>
          <w:szCs w:val="22"/>
        </w:rPr>
        <w:t>—</w:t>
      </w: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хранятся специальным образом», </w:t>
      </w:r>
      <w:r>
        <w:rPr>
          <w:rFonts w:eastAsia="Helvetica Neue" w:cs="Helvetica Neue" w:ascii="Helvetica Neue" w:hAnsi="Helvetica Neue"/>
          <w:color w:val="000000"/>
          <w:sz w:val="22"/>
          <w:szCs w:val="22"/>
        </w:rPr>
        <w:t>—</w:t>
      </w: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прокомментировала начальник отдела охраны окружающей среды Ленинградской АЭС </w:t>
      </w: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Александра Ткачева.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18" w:before="57" w:after="57"/>
        <w:ind w:left="0" w:right="0" w:hanging="0"/>
        <w:jc w:val="both"/>
        <w:rPr>
          <w:rFonts w:ascii="Helvetica Neue" w:hAnsi="Helvetica Neue" w:eastAsia="Helvetica Neue" w:cs="Helvetica Neu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18" w:before="57" w:after="57"/>
        <w:ind w:left="0" w:right="0" w:hanging="0"/>
        <w:jc w:val="both"/>
        <w:rPr>
          <w:rFonts w:ascii="Helvetica Neue" w:hAnsi="Helvetica Neue" w:eastAsia="Helvetica Neue" w:cs="Helvetica Neue"/>
          <w:i w:val="false"/>
          <w:i w:val="false"/>
          <w:caps w:val="false"/>
          <w:smallCaps w:val="false"/>
          <w:strike w:val="false"/>
          <w:dstrike w:val="false"/>
          <w:color w:val="343433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Мониторинг окружающей среды вокруг Ленинградской АЭС, который осуществляется при помощи системы дистанционного дозиметрического мониторинга АСКРО, показывает, что в 2022 году, как и в предыдущие годы, уровень радиации в Сосновом Бору был ниже, чем в среднем по Ленинградской области и Санкт-Петербургу, и соответствовал естественным природным значениям.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18" w:before="57" w:after="57"/>
        <w:ind w:left="0" w:right="0" w:hanging="0"/>
        <w:jc w:val="both"/>
        <w:rPr>
          <w:rFonts w:ascii="Helvetica Neue" w:hAnsi="Helvetica Neue" w:eastAsia="Helvetica Neue" w:cs="Helvetica Neu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18" w:before="57" w:after="57"/>
        <w:ind w:left="0" w:right="0" w:hanging="0"/>
        <w:jc w:val="both"/>
        <w:rPr>
          <w:rFonts w:ascii="Helvetica Neue" w:hAnsi="Helvetica Neue" w:eastAsia="Helvetica Neue" w:cs="Helvetica Neue"/>
          <w:i w:val="false"/>
          <w:i w:val="false"/>
          <w:caps w:val="false"/>
          <w:smallCaps w:val="false"/>
          <w:strike w:val="false"/>
          <w:dstrike w:val="false"/>
          <w:color w:val="343433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В этом году впервые презентацию экологического отч</w:t>
      </w:r>
      <w:r>
        <w:rPr>
          <w:rFonts w:eastAsia="Helvetica Neue" w:cs="Helvetica Neue" w:ascii="Helvetica Neue" w:hAnsi="Helvetica Neue"/>
          <w:color w:val="000000"/>
          <w:sz w:val="22"/>
          <w:szCs w:val="22"/>
        </w:rPr>
        <w:t>е</w:t>
      </w: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та продолжила акция в пользу разумного потребления. Совместно с активистами организации «Круг жизни» Ленинградская АЭС организовала благотворительный сбор книг. Более 200 изданий художественной и классической литературы, книг для детей и подростков, учебных пособий, которые принесли жители города Сосновый Бор, будут переданы в сельские библиотеки Ленинградской области.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18" w:before="57" w:after="57"/>
        <w:ind w:left="0" w:right="0" w:hanging="0"/>
        <w:jc w:val="both"/>
        <w:rPr>
          <w:rFonts w:ascii="Helvetica Neue" w:hAnsi="Helvetica Neue" w:eastAsia="Helvetica Neue" w:cs="Helvetica Neu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18" w:before="57" w:after="57"/>
        <w:ind w:left="0" w:right="0" w:hanging="0"/>
        <w:jc w:val="both"/>
        <w:rPr>
          <w:rFonts w:ascii="Helvetica Neue" w:hAnsi="Helvetica Neue" w:eastAsia="Helvetica Neue" w:cs="Helvetica Neue"/>
          <w:i w:val="false"/>
          <w:i w:val="false"/>
          <w:caps w:val="false"/>
          <w:smallCaps w:val="false"/>
          <w:strike w:val="false"/>
          <w:dstrike w:val="false"/>
          <w:color w:val="343433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Владимир Перегуда,</w:t>
      </w: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директор Ленинградской АЭС: «Обеспечение экологической безопасности для нашей станции является одним из наивысших приоритетов. В своей работе мы руководствуемся экологической политикой, разработанной на основе Единой отраслевой Экологической политики Госкорпорации «Росатом». Традиционными для нас оста</w:t>
      </w:r>
      <w:r>
        <w:rPr>
          <w:rFonts w:eastAsia="Helvetica Neue" w:cs="Helvetica Neue" w:ascii="Helvetica Neue" w:hAnsi="Helvetica Neue"/>
          <w:color w:val="000000"/>
          <w:sz w:val="22"/>
          <w:szCs w:val="22"/>
        </w:rPr>
        <w:t>ю</w:t>
      </w: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тся проведение экологических акций и мероприятий — субботников, в том числе, на воде, зарыбление водоемов в Ленинградской области, сотрудничество с Фондом друзей Балтийской нерпы, проведение массовых экофестивалей</w:t>
      </w:r>
      <w:r>
        <w:rPr>
          <w:rFonts w:eastAsia="Helvetica Neue" w:cs="Helvetica Neue" w:ascii="Helvetica Neue" w:hAnsi="Helvetica Neue"/>
          <w:color w:val="000000"/>
          <w:sz w:val="22"/>
          <w:szCs w:val="22"/>
        </w:rPr>
        <w:t>»</w:t>
      </w: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18" w:before="57" w:after="57"/>
        <w:ind w:left="0" w:right="0" w:hanging="0"/>
        <w:jc w:val="both"/>
        <w:rPr>
          <w:rFonts w:ascii="Helvetica Neue" w:hAnsi="Helvetica Neue" w:eastAsia="Helvetica Neue" w:cs="Helvetica Neu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13"/>
        <w:ind w:left="0" w:right="0" w:hanging="0"/>
        <w:jc w:val="both"/>
        <w:rPr>
          <w:rFonts w:ascii="Helvetica Neue" w:hAnsi="Helvetica Neue" w:eastAsia="Helvetica Neue" w:cs="Helvetica Neue"/>
          <w:i w:val="false"/>
          <w:i w:val="false"/>
          <w:caps w:val="false"/>
          <w:smallCaps w:val="false"/>
          <w:strike w:val="false"/>
          <w:dstrike w:val="false"/>
          <w:color w:val="343433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Экологические требования становятся важным условием при выстраивании новых проектов в промышленности и при создании инфраструктуры. В России значительное внимание уделяется разработке и внедрению новых технологий, направленных на защиту окружающей среды. Инициативы в сфере экологии становятся важными направлениями волонтерской и наставнической деятельности. По инициативе Президента России с 2019 года вед</w:t>
      </w:r>
      <w:r>
        <w:rPr>
          <w:rFonts w:eastAsia="Helvetica Neue" w:cs="Helvetica Neue" w:ascii="Helvetica Neue" w:hAnsi="Helvetica Neue"/>
          <w:i/>
          <w:color w:val="000000"/>
          <w:sz w:val="22"/>
          <w:szCs w:val="22"/>
        </w:rPr>
        <w:t>е</w:t>
      </w:r>
      <w:r>
        <w:rPr>
          <w:rFonts w:eastAsia="Helvetica Neue" w:cs="Helvetica Neue" w:ascii="Helvetica Neue" w:hAnsi="Helvetica Neu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тся работа по ряду направлений национального проекта «Экология», таких как утилизация и переработка отходов, ликвидация свалок, сохранение лесов и водоемов, снижение выбросов в атмосферу, развитие экологического туризма и экологического воспитания, сохранение биологического разнообразия.</w:t>
      </w:r>
    </w:p>
    <w:p>
      <w:pPr>
        <w:pStyle w:val="Normal1"/>
        <w:spacing w:lineRule="auto" w:line="240" w:before="57" w:after="57"/>
        <w:ind w:left="0" w:right="0" w:hanging="0"/>
        <w:jc w:val="both"/>
        <w:rPr>
          <w:rFonts w:ascii="Helvetica Neue" w:hAnsi="Helvetica Neue" w:eastAsia="Helvetica Neue" w:cs="Helvetica Neue"/>
          <w:sz w:val="22"/>
          <w:szCs w:val="22"/>
        </w:rPr>
      </w:pPr>
      <w:sdt>
        <w:sdtPr>
          <w:tag w:val="goog_rdk_0"/>
        </w:sdtPr>
        <w:sdtContent>
          <w:r>
            <w:rPr>
              <w:rFonts w:eastAsia="Arial" w:cs="Arial" w:ascii="Arial" w:hAnsi="Arial"/>
              <w:i/>
              <w:color w:val="000000"/>
              <w:sz w:val="22"/>
              <w:szCs w:val="22"/>
            </w:rPr>
          </w:r>
          <w:r>
            <w:rPr>
              <w:rFonts w:eastAsia="Arial" w:cs="Arial" w:ascii="Arial" w:hAnsi="Arial"/>
              <w:i/>
              <w:color w:val="000000"/>
              <w:sz w:val="22"/>
              <w:szCs w:val="22"/>
            </w:rPr>
            <w:t>Ленинградская АЭС является одной из крупнейших атомных станций в России по установленной мощности 4400 МВт. Здесь эксплуатируется 4 блока РБМК-1000 и 2 блока ВВЭР-1200. Энергоблоки №№ 1 и 2 РБМК-1000 остановлены для вывода из эксплуатации после 45 лет службы. Им на смену в 2018 и 2021 годах были введены два блока ВВЭР-1200. Проектный срок службы составляет 60 лет с возможностью продления еще на 20 лет. Кроме них, два новых энергоблока №№7 и 8 ВВЭР-1200 Ленинградской АЭС планируется ввести в эксплуатацию в 2030 и 2032 годах соответственно. Они станут замещающими мощностями энергоблоков №№3 и 4 РБМК-1000. Ежегодная выработка каждого энергоблока ВВЭР-1200 составит более 8,5 млрд кВтч электроэнергии.</w:t>
          </w:r>
        </w:sdtContent>
      </w:sdt>
    </w:p>
    <w:sectPr>
      <w:type w:val="continuous"/>
      <w:pgSz w:w="11906" w:h="16838"/>
      <w:pgMar w:left="1440" w:right="707" w:gutter="0" w:header="0" w:top="142" w:footer="0" w:bottom="398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Rosatom"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Helvetica Neue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left="0" w:right="1501" w:hanging="0"/>
      <w:jc w:val="left"/>
      <w:rPr>
        <w:rFonts w:ascii="Rosatom" w:hAnsi="Rosatom" w:eastAsia="Rosatom" w:cs="Rosatom"/>
        <w:b w:val="false"/>
        <w:i w:val="false"/>
        <w:i w:val="false"/>
        <w:caps w:val="false"/>
        <w:smallCaps w:val="false"/>
        <w:strike w:val="false"/>
        <w:dstrike w:val="false"/>
        <w:color w:val="343433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Rosatom" w:cs="Rosatom"/>
        <w:b w:val="false"/>
        <w:i w:val="false"/>
        <w:caps w:val="false"/>
        <w:smallCaps w:val="false"/>
        <w:strike w:val="false"/>
        <w:dstrike w:val="false"/>
        <w:color w:val="343433"/>
        <w:position w:val="0"/>
        <w:sz w:val="18"/>
        <w:sz w:val="18"/>
        <w:szCs w:val="18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Rosatom" w:hAnsi="Rosatom" w:eastAsia="Rosatom" w:cs="Rosatom"/>
        <w:color w:val="343433"/>
        <w:sz w:val="18"/>
        <w:szCs w:val="18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18" w:before="0" w:after="140"/>
      <w:ind w:left="3643" w:right="1501" w:hanging="10"/>
      <w:jc w:val="left"/>
    </w:pPr>
    <w:rPr>
      <w:rFonts w:ascii="Rosatom" w:hAnsi="Rosatom" w:eastAsia="Rosatom" w:cs="Rosatom"/>
      <w:color w:val="343433"/>
      <w:kern w:val="0"/>
      <w:sz w:val="18"/>
      <w:szCs w:val="22"/>
      <w:lang w:val="ru-RU" w:eastAsia="ru-RU" w:bidi="ar-SA"/>
    </w:rPr>
  </w:style>
  <w:style w:type="paragraph" w:styleId="1">
    <w:name w:val="Heading 1"/>
    <w:basedOn w:val="Normal1"/>
    <w:next w:val="Normal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1"/>
    <w:next w:val="Normal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1"/>
    <w:next w:val="Normal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1"/>
    <w:next w:val="Normal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1"/>
    <w:next w:val="Normal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1"/>
    <w:next w:val="Normal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">
    <w:name w:val="Heading 7"/>
    <w:basedOn w:val="Normal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">
    <w:name w:val="Heading 8"/>
    <w:basedOn w:val="Normal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9">
    <w:name w:val="Heading 9"/>
    <w:basedOn w:val="Normal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 w:customStyle="1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7" w:customStyle="1">
    <w:name w:val="Символ концевой сноски"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9" w:customStyle="1">
    <w:name w:val="Верхний колонтитул Знак"/>
    <w:basedOn w:val="DefaultParagraphFont"/>
    <w:uiPriority w:val="99"/>
    <w:qFormat/>
    <w:rPr>
      <w:rFonts w:ascii="Rosatom" w:hAnsi="Rosatom" w:eastAsia="Rosatom" w:cs="Rosatom"/>
      <w:color w:val="343433"/>
      <w:sz w:val="18"/>
    </w:rPr>
  </w:style>
  <w:style w:type="character" w:styleId="Style10" w:customStyle="1">
    <w:name w:val="Нижний колонтитул Знак"/>
    <w:basedOn w:val="DefaultParagraphFont"/>
    <w:uiPriority w:val="99"/>
    <w:qFormat/>
    <w:rPr>
      <w:rFonts w:ascii="Rosatom" w:hAnsi="Rosatom" w:eastAsia="Rosatom" w:cs="Rosatom"/>
      <w:color w:val="343433"/>
      <w:sz w:val="18"/>
    </w:rPr>
  </w:style>
  <w:style w:type="character" w:styleId="W" w:customStyle="1">
    <w:name w:val="w"/>
    <w:basedOn w:val="DefaultParagraphFont"/>
    <w:qFormat/>
    <w:rPr/>
  </w:style>
  <w:style w:type="character" w:styleId="Normaltextrun" w:customStyle="1">
    <w:name w:val="normaltextrun"/>
    <w:basedOn w:val="DefaultParagraphFont"/>
    <w:qFormat/>
    <w:rPr/>
  </w:style>
  <w:style w:type="character" w:styleId="Highlight" w:customStyle="1">
    <w:name w:val="highlight"/>
    <w:basedOn w:val="DefaultParagraphFont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1" w:customStyle="1">
    <w:name w:val="Текст примечания Знак"/>
    <w:basedOn w:val="DefaultParagraphFont"/>
    <w:uiPriority w:val="99"/>
    <w:semiHidden/>
    <w:qFormat/>
    <w:rPr>
      <w:rFonts w:ascii="Rosatom" w:hAnsi="Rosatom" w:eastAsia="Rosatom" w:cs="Rosatom"/>
      <w:color w:val="343433"/>
      <w:sz w:val="20"/>
      <w:szCs w:val="20"/>
    </w:rPr>
  </w:style>
  <w:style w:type="character" w:styleId="Style12" w:customStyle="1">
    <w:name w:val="Тема примечания Знак"/>
    <w:basedOn w:val="Style11"/>
    <w:uiPriority w:val="99"/>
    <w:semiHidden/>
    <w:qFormat/>
    <w:rPr>
      <w:rFonts w:ascii="Rosatom" w:hAnsi="Rosatom" w:eastAsia="Rosatom" w:cs="Rosatom"/>
      <w:b/>
      <w:bCs/>
      <w:color w:val="343433"/>
      <w:sz w:val="20"/>
      <w:szCs w:val="20"/>
    </w:rPr>
  </w:style>
  <w:style w:type="character" w:styleId="Style13" w:customStyle="1">
    <w:name w:val="Текст выноски Знак"/>
    <w:basedOn w:val="DefaultParagraphFont"/>
    <w:uiPriority w:val="99"/>
    <w:semiHidden/>
    <w:qFormat/>
    <w:rPr>
      <w:rFonts w:ascii="Tahoma" w:hAnsi="Tahoma" w:eastAsia="Rosatom" w:cs="Tahoma"/>
      <w:color w:val="343433"/>
      <w:sz w:val="16"/>
      <w:szCs w:val="16"/>
    </w:rPr>
  </w:style>
  <w:style w:type="character" w:styleId="Style14">
    <w:name w:val="Emphasis"/>
    <w:basedOn w:val="DefaultParagraphFont"/>
    <w:qFormat/>
    <w:rPr>
      <w:i/>
      <w:iCs/>
    </w:rPr>
  </w:style>
  <w:style w:type="character" w:styleId="Style15" w:customStyle="1">
    <w:name w:val="Символ нумерации"/>
    <w:qFormat/>
    <w:rPr/>
  </w:style>
  <w:style w:type="character" w:styleId="Style16">
    <w:name w:val="Line Number"/>
    <w:rPr/>
  </w:style>
  <w:style w:type="paragraph" w:styleId="Style17" w:customStyle="1">
    <w:name w:val="Заголовок"/>
    <w:basedOn w:val="Normal1"/>
    <w:next w:val="Style18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8">
    <w:name w:val="Body Text"/>
    <w:basedOn w:val="Normal1"/>
    <w:pPr>
      <w:spacing w:lineRule="auto" w:line="276"/>
    </w:pPr>
    <w:rPr/>
  </w:style>
  <w:style w:type="paragraph" w:styleId="Style19">
    <w:name w:val="List"/>
    <w:basedOn w:val="Style18"/>
    <w:pPr/>
    <w:rPr>
      <w:rFonts w:cs="Noto Sans Devanagari"/>
    </w:rPr>
  </w:style>
  <w:style w:type="paragraph" w:styleId="Style20">
    <w:name w:val="Caption"/>
    <w:basedOn w:val="Normal1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1">
    <w:name w:val="Указатель"/>
    <w:basedOn w:val="Normal1"/>
    <w:qFormat/>
    <w:pPr>
      <w:suppressLineNumbers/>
    </w:pPr>
    <w:rPr>
      <w:rFonts w:cs="Noto Sans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18" w:before="0" w:after="140"/>
      <w:ind w:left="3643" w:right="1501" w:hanging="10"/>
      <w:jc w:val="left"/>
    </w:pPr>
    <w:rPr>
      <w:rFonts w:ascii="Rosatom" w:hAnsi="Rosatom" w:eastAsia="Rosatom" w:cs="Rosatom"/>
      <w:color w:val="343433"/>
      <w:kern w:val="0"/>
      <w:sz w:val="18"/>
      <w:szCs w:val="18"/>
      <w:lang w:val="ru-RU" w:eastAsia="zh-CN" w:bidi="hi-IN"/>
    </w:rPr>
  </w:style>
  <w:style w:type="paragraph" w:styleId="Style22">
    <w:name w:val="Title"/>
    <w:basedOn w:val="Normal1"/>
    <w:next w:val="Normal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1"/>
    <w:uiPriority w:val="35"/>
    <w:semiHidden/>
    <w:unhideWhenUsed/>
    <w:qFormat/>
    <w:pPr>
      <w:spacing w:lineRule="auto" w:line="276"/>
    </w:pPr>
    <w:rPr>
      <w:b/>
      <w:bCs/>
      <w:color w:val="5B9BD5" w:themeColor="accent1"/>
      <w:szCs w:val="18"/>
    </w:rPr>
  </w:style>
  <w:style w:type="paragraph" w:styleId="Indexheading">
    <w:name w:val="index heading"/>
    <w:basedOn w:val="Normal1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1"/>
    <w:uiPriority w:val="34"/>
    <w:qFormat/>
    <w:pPr>
      <w:spacing w:before="0" w:after="160"/>
      <w:ind w:left="720" w:right="1501" w:hanging="0"/>
      <w:contextualSpacing/>
    </w:pPr>
    <w:rPr/>
  </w:style>
  <w:style w:type="paragraph" w:styleId="Style23">
    <w:name w:val="Subtitle"/>
    <w:basedOn w:val="Normal1"/>
    <w:next w:val="Normal1"/>
    <w:uiPriority w:val="11"/>
    <w:qFormat/>
    <w:pPr>
      <w:spacing w:lineRule="auto" w:line="240" w:before="200" w:after="200"/>
    </w:pPr>
    <w:rPr>
      <w:sz w:val="24"/>
      <w:szCs w:val="24"/>
    </w:rPr>
  </w:style>
  <w:style w:type="paragraph" w:styleId="Quote">
    <w:name w:val="Quote"/>
    <w:basedOn w:val="Normal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before="0" w:after="160"/>
      <w:ind w:left="720" w:right="720" w:hanging="0"/>
    </w:pPr>
    <w:rPr>
      <w:i/>
    </w:rPr>
  </w:style>
  <w:style w:type="paragraph" w:styleId="Style24">
    <w:name w:val="Footnote Text"/>
    <w:basedOn w:val="Normal1"/>
    <w:uiPriority w:val="99"/>
    <w:semiHidden/>
    <w:unhideWhenUsed/>
    <w:pPr>
      <w:spacing w:lineRule="auto" w:line="240" w:before="0" w:after="40"/>
    </w:pPr>
    <w:rPr/>
  </w:style>
  <w:style w:type="paragraph" w:styleId="Style25">
    <w:name w:val="Endnote Text"/>
    <w:basedOn w:val="Normal1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1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1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1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1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1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1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1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1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1"/>
    <w:uiPriority w:val="39"/>
    <w:unhideWhenUsed/>
    <w:pPr>
      <w:spacing w:before="0" w:after="57"/>
      <w:ind w:left="2268" w:right="0" w:hanging="0"/>
    </w:pPr>
    <w:rPr/>
  </w:style>
  <w:style w:type="paragraph" w:styleId="Style26">
    <w:name w:val="Index Heading"/>
    <w:basedOn w:val="Style17"/>
    <w:pPr/>
    <w:rPr/>
  </w:style>
  <w:style w:type="paragraph" w:styleId="Style27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ind w:left="3643" w:right="1501" w:hanging="1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12" w:customStyle="1">
    <w:name w:val="Обычный1"/>
    <w:qFormat/>
    <w:pPr>
      <w:widowControl/>
      <w:suppressAutoHyphens w:val="true"/>
      <w:bidi w:val="0"/>
      <w:spacing w:lineRule="auto" w:line="276" w:before="0" w:after="0"/>
      <w:ind w:left="3643" w:right="1501" w:hanging="1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Style28" w:customStyle="1">
    <w:name w:val="Верхний и нижний колонтитулы"/>
    <w:basedOn w:val="Normal1"/>
    <w:qFormat/>
    <w:pPr/>
    <w:rPr/>
  </w:style>
  <w:style w:type="paragraph" w:styleId="Style29">
    <w:name w:val="Колонтитул"/>
    <w:basedOn w:val="Normal1"/>
    <w:qFormat/>
    <w:pPr/>
    <w:rPr/>
  </w:style>
  <w:style w:type="paragraph" w:styleId="Style30">
    <w:name w:val="Header"/>
    <w:basedOn w:val="Normal1"/>
    <w:uiPriority w:val="99"/>
    <w:unhideWhenUsed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1">
    <w:name w:val="Footer"/>
    <w:basedOn w:val="Normal1"/>
    <w:uiPriority w:val="99"/>
    <w:unhideWhenUsed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1"/>
    <w:uiPriority w:val="99"/>
    <w:unhideWhenUsed/>
    <w:qFormat/>
    <w:pPr>
      <w:spacing w:lineRule="auto" w:line="240" w:beforeAutospacing="1" w:afterAutospacing="1"/>
      <w:ind w:left="0" w:right="0" w:hanging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Annotationtext">
    <w:name w:val="annotation text"/>
    <w:basedOn w:val="Normal1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BalloonText">
    <w:name w:val="Balloon Text"/>
    <w:basedOn w:val="Normal1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18" w:before="0" w:after="0"/>
      <w:ind w:left="3643" w:right="1501" w:hanging="1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Style32" w:customStyle="1">
    <w:name w:val="Содержимое таблицы"/>
    <w:basedOn w:val="Normal1"/>
    <w:qFormat/>
    <w:pPr>
      <w:widowControl w:val="false"/>
      <w:suppressLineNumbers/>
    </w:pPr>
    <w:rPr/>
  </w:style>
  <w:style w:type="paragraph" w:styleId="Style33">
    <w:name w:val="Блочная цитата"/>
    <w:basedOn w:val="Normal1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2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2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val="en-GB" w:eastAsia="en-GB"/>
      <w:color w:val="404040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val="en-GB" w:eastAsia="en-GB"/>
      <w:color w:val="404040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val="en-GB" w:eastAsia="en-GB"/>
      <w:color w:val="404040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val="en-GB" w:eastAsia="en-GB"/>
      <w:color w:val="404040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val="en-GB" w:eastAsia="en-GB"/>
      <w:color w:val="404040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val="en-GB" w:eastAsia="en-GB"/>
      <w:color w:val="404040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val="en-GB" w:eastAsia="en-GB"/>
      <w:color w:val="404040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val="en-GB" w:eastAsia="en-GB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val="en-GB" w:eastAsia="en-GB"/>
      <w:color w:val="404040"/>
      <w:sz w:val="20"/>
      <w:szCs w:val="2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val="en-GB" w:eastAsia="en-GB"/>
      <w:color w:val="404040"/>
      <w:sz w:val="20"/>
      <w:szCs w:val="2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val="en-GB" w:eastAsia="en-GB"/>
      <w:color w:val="404040"/>
      <w:sz w:val="20"/>
      <w:szCs w:val="2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val="en-GB" w:eastAsia="en-GB"/>
      <w:color w:val="404040"/>
      <w:sz w:val="20"/>
      <w:szCs w:val="2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val="en-GB" w:eastAsia="en-GB"/>
      <w:color w:val="404040"/>
      <w:sz w:val="20"/>
      <w:szCs w:val="2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val="en-GB" w:eastAsia="en-GB"/>
      <w:color w:val="404040"/>
      <w:sz w:val="20"/>
      <w:szCs w:val="2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OLSgrj77NS2JSpuzxm/D2r6P6Q==">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547</Words>
  <Characters>3818</Characters>
  <CharactersWithSpaces>4367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2023-07-12T09:20:00Z</dcterms:created>
  <dc:creator>Титова Анастасия Михайловна</dc:creator>
  <dc:description/>
  <dc:language>ru-RU</dc:language>
  <cp:lastModifiedBy/>
  <cp:revision>0</cp:revision>
  <dc:subject/>
  <dc:title/>
</cp:coreProperties>
</file>