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9218F" w:rsidRDefault="0069218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2" w14:textId="77777777" w:rsidR="0069218F" w:rsidRDefault="00A9152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Корпус реактора для энергоблока №7 АЭС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Тяньвань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 прибыл на строительную площадку в Китай</w:t>
      </w:r>
    </w:p>
    <w:p w14:paraId="00000003" w14:textId="77777777" w:rsidR="0069218F" w:rsidRDefault="00A915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Корпус реактора для энергоблока №7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Тяньвань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сооружаемого в Китае при участии Инжинирингового дивизиона Росатома, прибыл на строительную площадку, преодолев морской путь из России менее чем за два месяца. Днем ранее на объект были доставлены четыре п</w:t>
      </w:r>
      <w:r>
        <w:rPr>
          <w:rFonts w:ascii="Times New Roman" w:eastAsia="Times New Roman" w:hAnsi="Times New Roman" w:cs="Times New Roman"/>
          <w:sz w:val="28"/>
          <w:szCs w:val="28"/>
        </w:rPr>
        <w:t>арогенератора, три корпуса главного циркуляционного насосного агрегата и барботер.</w:t>
      </w:r>
    </w:p>
    <w:p w14:paraId="00000004" w14:textId="77777777" w:rsidR="0069218F" w:rsidRDefault="00A915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 контрактным обязательствам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российская сторона при реализации проекта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Тяньвань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обеспечивает поставку оборудования для «ядерного острова» станции, его шеф-монт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аж и шеф-наладку. Корпус реактора, изготовленный в России для седьмого блока, сегодня прибыл на стройплощадку, и после всех необходимых производственных и контрольных процедур будет установлен в проектное положение», - сообщил вице-президент по проектам в </w:t>
      </w:r>
      <w:r>
        <w:rPr>
          <w:rFonts w:ascii="Times New Roman" w:eastAsia="Times New Roman" w:hAnsi="Times New Roman" w:cs="Times New Roman"/>
          <w:sz w:val="28"/>
          <w:szCs w:val="28"/>
        </w:rPr>
        <w:t>Китае и перспективным проектам АО «Атомстройэкспорт» Алексей Банник.</w:t>
      </w:r>
    </w:p>
    <w:p w14:paraId="00000005" w14:textId="77777777" w:rsidR="0069218F" w:rsidRDefault="00A91521">
      <w:pPr>
        <w:ind w:firstLine="709"/>
        <w:jc w:val="both"/>
        <w:rPr>
          <w:rFonts w:ascii="Times New Roman" w:eastAsia="Times New Roman" w:hAnsi="Times New Roman" w:cs="Times New Roman"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на седьмом энергоблоке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Тяньвань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завершена установка купола здания реактора. Этому предшествовала установка и монтаж полярного крана внутри здания, благодаря которо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специалисты смогут установить в проектное положение корпус реактора и другое крупногабаритное оборудование в здании. </w:t>
      </w:r>
    </w:p>
    <w:p w14:paraId="00000006" w14:textId="77777777" w:rsidR="0069218F" w:rsidRDefault="00A91521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Корпус реактора ВВЭР-1200, вес которого составляет 334,2 тонны, а длина — 12 м, перед установкой пройдет входной контроль в соответстви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и с регламентными требованиями. В состав комиссии войдут представители китайского заказчика, специалисты Инжинирингового дивизиона Росатома и компании-производителя оборудования –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Атоммаш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highlight w:val="white"/>
        </w:rPr>
        <w:t>».</w:t>
      </w:r>
    </w:p>
    <w:p w14:paraId="00000007" w14:textId="77777777" w:rsidR="0069218F" w:rsidRDefault="00A91521">
      <w:pPr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8" w14:textId="77777777" w:rsidR="0069218F" w:rsidRDefault="00A9152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справки:</w:t>
      </w:r>
    </w:p>
    <w:p w14:paraId="00000009" w14:textId="77777777" w:rsidR="0069218F" w:rsidRDefault="00A915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Тяньваньская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АЭС – самый крупный проект экономичес</w:t>
      </w:r>
      <w:r>
        <w:rPr>
          <w:rFonts w:ascii="Times New Roman" w:eastAsia="Times New Roman" w:hAnsi="Times New Roman" w:cs="Times New Roman"/>
          <w:sz w:val="28"/>
          <w:szCs w:val="28"/>
        </w:rPr>
        <w:t>кого сотрудничества между Россией и Китаем. В настоящее время сооружаются два энергоблока по российскому проекту с реакторной установкой ВВЭР-1200. Построенные ранее четыре блока российского проекта ВВЭР-1000 успешно работают и выдают в энергосистему стран</w:t>
      </w:r>
      <w:r>
        <w:rPr>
          <w:rFonts w:ascii="Times New Roman" w:eastAsia="Times New Roman" w:hAnsi="Times New Roman" w:cs="Times New Roman"/>
          <w:sz w:val="28"/>
          <w:szCs w:val="28"/>
        </w:rPr>
        <w:t>ы миллионы киловатт энергии. 8 июня 2018 года в Пекине был подписан Межправительственный протокол и рамочный контракт на сооружение энергоблоков № 7 и № 8 с реакторами ВВЭР-1200. С российской стороны контракт был подписан Инжиниринговым дивизионом Госкорпо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 «Росатом», с китайской — предприятиями корпорации CNNC. В соответствии с этими документами российская сторона спроектировала «ядерный остров» АЭС, а также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поставит ключевое оборудование «ядерного острова» для обоих блоков. Также были подписаны следую</w:t>
      </w:r>
      <w:r>
        <w:rPr>
          <w:rFonts w:ascii="Times New Roman" w:eastAsia="Times New Roman" w:hAnsi="Times New Roman" w:cs="Times New Roman"/>
          <w:sz w:val="28"/>
          <w:szCs w:val="28"/>
        </w:rPr>
        <w:t>щие исполнительные контракты: контракт на технический проект для энергоблоков № 7 и №8; генеральный контракт для энергоблоков № 7 и № 8. Работы по сооружению энергоблоков № 7 и № 8 начались 19 мая 2021 года.</w:t>
      </w:r>
    </w:p>
    <w:p w14:paraId="0000000A" w14:textId="77777777" w:rsidR="0069218F" w:rsidRDefault="00A915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Инжиниринговый дивизион Госкорпорации «Росатом»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 «Атомэнергопроект» (Московский, Нижегородский, Санкт-Петербургский филиалы – проектные институ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ты, филиалы в России и за рубежом, изыскательские филиалы) и дочерние строительные организации.</w:t>
      </w:r>
    </w:p>
    <w:p w14:paraId="0000000B" w14:textId="77777777" w:rsidR="0069218F" w:rsidRDefault="00A915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14:paraId="0000000C" w14:textId="77777777" w:rsidR="0069218F" w:rsidRDefault="00A915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Порядка 80% выручки ди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визиона составляют зарубежные проекты.</w:t>
      </w:r>
    </w:p>
    <w:p w14:paraId="0000000D" w14:textId="77777777" w:rsidR="0069218F" w:rsidRDefault="00A915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14:paraId="0000000E" w14:textId="77777777" w:rsidR="0069218F" w:rsidRDefault="00A915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Мы строим надежные и безопасные АЭС с реакторами типа ВВЭР поколения </w:t>
      </w:r>
      <w:r>
        <w:rPr>
          <w:rFonts w:ascii="Times New Roman" w:eastAsia="Times New Roman" w:hAnsi="Times New Roman" w:cs="Times New Roman"/>
          <w:sz w:val="28"/>
          <w:szCs w:val="28"/>
        </w:rPr>
        <w:t>III+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которые отвечают всем 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еждународным требованиям и рекомендациям.</w:t>
      </w:r>
    </w:p>
    <w:p w14:paraId="0000000F" w14:textId="77777777" w:rsidR="0069218F" w:rsidRDefault="00A915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</w:rPr>
      </w:pPr>
      <w:hyperlink r:id="rId5">
        <w:r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www.ase-ec.ru</w:t>
        </w:r>
      </w:hyperlink>
    </w:p>
    <w:p w14:paraId="00000010" w14:textId="77777777" w:rsidR="0069218F" w:rsidRDefault="006921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</w:rPr>
      </w:pPr>
    </w:p>
    <w:p w14:paraId="00000011" w14:textId="77777777" w:rsidR="0069218F" w:rsidRDefault="00A915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Россия продолжает взаимовыгодное сотрудничество с дружественными странами. Продолжается реализация крупных проектов в сфере энергетики. Работа Росатома по проектам в Китае является примером конструктивного партнерства, открывающего новые перспективы в сфер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низкоуглеродной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генерации.</w:t>
      </w:r>
    </w:p>
    <w:p w14:paraId="00000012" w14:textId="77777777" w:rsidR="0069218F" w:rsidRDefault="0069218F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sectPr w:rsidR="0069218F">
      <w:pgSz w:w="11906" w:h="16838"/>
      <w:pgMar w:top="426" w:right="566" w:bottom="113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nsola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8F"/>
    <w:rsid w:val="0069218F"/>
    <w:rsid w:val="00A9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D1EE8-482E-4F04-A71A-FB147E3B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B4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a5">
    <w:name w:val="Текст Знак"/>
    <w:link w:val="a6"/>
    <w:uiPriority w:val="99"/>
    <w:rPr>
      <w:rFonts w:ascii="Tahoma" w:hAnsi="Tahoma" w:cs="Tahoma"/>
      <w:lang w:val="ru-RU" w:eastAsia="ar-SA" w:bidi="ar-SA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7">
    <w:name w:val="Текст примечания Знак"/>
    <w:rPr>
      <w:rFonts w:ascii="Calibri" w:eastAsia="Calibri" w:hAnsi="Calibri" w:cs="Calibri"/>
    </w:rPr>
  </w:style>
  <w:style w:type="character" w:customStyle="1" w:styleId="a8">
    <w:name w:val="Тема примечания Знак"/>
    <w:rPr>
      <w:rFonts w:ascii="Calibri" w:eastAsia="Calibri" w:hAnsi="Calibri" w:cs="Calibri"/>
      <w:b/>
      <w:bCs/>
    </w:rPr>
  </w:style>
  <w:style w:type="character" w:customStyle="1" w:styleId="a9">
    <w:name w:val="Текст выноски Знак"/>
    <w:rPr>
      <w:rFonts w:ascii="Tahoma" w:eastAsia="Calibri" w:hAnsi="Tahoma" w:cs="Tahoma"/>
      <w:sz w:val="16"/>
      <w:szCs w:val="16"/>
    </w:rPr>
  </w:style>
  <w:style w:type="character" w:styleId="aa">
    <w:name w:val="Strong"/>
    <w:qFormat/>
    <w:rPr>
      <w:b/>
      <w:bCs/>
    </w:rPr>
  </w:style>
  <w:style w:type="character" w:customStyle="1" w:styleId="ab">
    <w:name w:val="Основной текст Знак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Pr>
      <w:rFonts w:cs="Courier New"/>
      <w:sz w:val="16"/>
      <w:szCs w:val="16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cs="Lucida 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6">
    <w:name w:val="Текст1"/>
    <w:basedOn w:val="a"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ar-SA"/>
    </w:rPr>
  </w:style>
  <w:style w:type="paragraph" w:customStyle="1" w:styleId="17">
    <w:name w:val="Без интервала1"/>
    <w:pPr>
      <w:suppressAutoHyphens/>
    </w:pPr>
    <w:rPr>
      <w:lang w:eastAsia="ar-SA"/>
    </w:rPr>
  </w:style>
  <w:style w:type="paragraph" w:customStyle="1" w:styleId="18">
    <w:name w:val="Текст примечания1"/>
    <w:basedOn w:val="a"/>
    <w:rPr>
      <w:sz w:val="20"/>
      <w:szCs w:val="20"/>
      <w:lang w:val="en-US"/>
    </w:rPr>
  </w:style>
  <w:style w:type="paragraph" w:customStyle="1" w:styleId="19">
    <w:name w:val="Тема примечания1"/>
    <w:basedOn w:val="18"/>
    <w:rPr>
      <w:b/>
      <w:bCs/>
    </w:rPr>
  </w:style>
  <w:style w:type="paragraph" w:customStyle="1" w:styleId="1a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  <w:lang w:val="en-US"/>
    </w:rPr>
  </w:style>
  <w:style w:type="paragraph" w:customStyle="1" w:styleId="1b">
    <w:name w:val="Рецензия1"/>
    <w:pPr>
      <w:suppressAutoHyphens/>
    </w:pPr>
    <w:rPr>
      <w:lang w:eastAsia="ar-SA"/>
    </w:rPr>
  </w:style>
  <w:style w:type="paragraph" w:customStyle="1" w:styleId="style6">
    <w:name w:val="style6"/>
    <w:basedOn w:val="a"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e">
    <w:name w:val="Balloon Text"/>
    <w:basedOn w:val="a"/>
    <w:link w:val="1c"/>
    <w:uiPriority w:val="99"/>
    <w:semiHidden/>
    <w:unhideWhenUsed/>
    <w:rsid w:val="0030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e"/>
    <w:uiPriority w:val="99"/>
    <w:semiHidden/>
    <w:rsid w:val="00303D25"/>
    <w:rPr>
      <w:rFonts w:ascii="Tahoma" w:eastAsia="Calibri" w:hAnsi="Tahoma" w:cs="Tahoma"/>
      <w:sz w:val="16"/>
      <w:szCs w:val="16"/>
      <w:lang w:eastAsia="ar-SA"/>
    </w:rPr>
  </w:style>
  <w:style w:type="character" w:styleId="af">
    <w:name w:val="annotation reference"/>
    <w:basedOn w:val="a0"/>
    <w:uiPriority w:val="99"/>
    <w:semiHidden/>
    <w:unhideWhenUsed/>
    <w:rsid w:val="009E5F83"/>
    <w:rPr>
      <w:sz w:val="16"/>
      <w:szCs w:val="16"/>
    </w:rPr>
  </w:style>
  <w:style w:type="paragraph" w:styleId="af0">
    <w:name w:val="annotation text"/>
    <w:basedOn w:val="a"/>
    <w:link w:val="1d"/>
    <w:uiPriority w:val="99"/>
    <w:semiHidden/>
    <w:unhideWhenUsed/>
    <w:rsid w:val="009E5F83"/>
    <w:pPr>
      <w:spacing w:line="240" w:lineRule="auto"/>
    </w:pPr>
    <w:rPr>
      <w:sz w:val="20"/>
      <w:szCs w:val="20"/>
    </w:rPr>
  </w:style>
  <w:style w:type="character" w:customStyle="1" w:styleId="1d">
    <w:name w:val="Текст примечания Знак1"/>
    <w:basedOn w:val="a0"/>
    <w:link w:val="af0"/>
    <w:uiPriority w:val="99"/>
    <w:semiHidden/>
    <w:rsid w:val="009E5F83"/>
    <w:rPr>
      <w:rFonts w:ascii="Calibri" w:eastAsia="Calibri" w:hAnsi="Calibri"/>
      <w:lang w:eastAsia="ar-SA"/>
    </w:rPr>
  </w:style>
  <w:style w:type="paragraph" w:styleId="af1">
    <w:name w:val="annotation subject"/>
    <w:basedOn w:val="af0"/>
    <w:next w:val="af0"/>
    <w:link w:val="1e"/>
    <w:uiPriority w:val="99"/>
    <w:semiHidden/>
    <w:unhideWhenUsed/>
    <w:rsid w:val="009E5F83"/>
    <w:rPr>
      <w:b/>
      <w:bCs/>
    </w:rPr>
  </w:style>
  <w:style w:type="character" w:customStyle="1" w:styleId="1e">
    <w:name w:val="Тема примечания Знак1"/>
    <w:basedOn w:val="1d"/>
    <w:link w:val="af1"/>
    <w:uiPriority w:val="99"/>
    <w:semiHidden/>
    <w:rsid w:val="009E5F83"/>
    <w:rPr>
      <w:rFonts w:ascii="Calibri" w:eastAsia="Calibri" w:hAnsi="Calibri"/>
      <w:b/>
      <w:bCs/>
      <w:lang w:eastAsia="ar-SA"/>
    </w:rPr>
  </w:style>
  <w:style w:type="paragraph" w:styleId="af2">
    <w:name w:val="Normal (Web)"/>
    <w:basedOn w:val="a"/>
    <w:uiPriority w:val="99"/>
    <w:semiHidden/>
    <w:unhideWhenUsed/>
    <w:rsid w:val="00B65C7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5"/>
    <w:uiPriority w:val="99"/>
    <w:unhideWhenUsed/>
    <w:rsid w:val="00772F12"/>
    <w:pPr>
      <w:suppressAutoHyphens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f">
    <w:name w:val="Текст Знак1"/>
    <w:basedOn w:val="a0"/>
    <w:uiPriority w:val="99"/>
    <w:semiHidden/>
    <w:rsid w:val="00772F12"/>
    <w:rPr>
      <w:rFonts w:ascii="Consolas" w:eastAsia="Calibri" w:hAnsi="Consolas" w:cs="Consolas"/>
      <w:sz w:val="21"/>
      <w:szCs w:val="21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6E5B7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E5B74"/>
    <w:rPr>
      <w:rFonts w:ascii="Calibri" w:eastAsia="Calibri" w:hAnsi="Calibri"/>
      <w:sz w:val="22"/>
      <w:szCs w:val="22"/>
      <w:lang w:eastAsia="ar-SA"/>
    </w:rPr>
  </w:style>
  <w:style w:type="character" w:customStyle="1" w:styleId="s1">
    <w:name w:val="s1"/>
    <w:basedOn w:val="a0"/>
    <w:rsid w:val="00A133DA"/>
  </w:style>
  <w:style w:type="paragraph" w:styleId="af5">
    <w:name w:val="No Spacing"/>
    <w:uiPriority w:val="1"/>
    <w:qFormat/>
    <w:rsid w:val="00A133DA"/>
    <w:pPr>
      <w:suppressAutoHyphens/>
    </w:pPr>
    <w:rPr>
      <w:lang w:eastAsia="ar-SA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se-e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rFyCk7Y95AQBFE2xik4PDK8FvQ==">CgMxLjA4AHIhMXc1MTlpbVZjSV9QOGw2bktlZHZpUDlPNTloa2lHYnRU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Павел Деревянко</cp:lastModifiedBy>
  <cp:revision>2</cp:revision>
  <dcterms:created xsi:type="dcterms:W3CDTF">2023-08-03T12:02:00Z</dcterms:created>
  <dcterms:modified xsi:type="dcterms:W3CDTF">2023-08-03T12:02:00Z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