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0F70" w14:textId="77777777" w:rsidR="00A35DEC" w:rsidRDefault="00380A9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14:anchorId="491E9384" wp14:editId="350E117C">
            <wp:extent cx="2238152" cy="2238152"/>
            <wp:effectExtent l="0" t="0" r="0" b="0"/>
            <wp:docPr id="2" name="image1.png" descr="C:\!!!!!!СПРАВКИ О ПРОЕКТАХ_2020\Шапки релизов с новым лого\АО%20ИК%20АСЭ%20(с)_вертикальный_рус.png"/>
            <wp:cNvGraphicFramePr/>
            <a:graphic xmlns:a="http://schemas.openxmlformats.org/drawingml/2006/main">
              <a:graphicData uri="http://schemas.openxmlformats.org/drawingml/2006/picture">
                <pic:pic xmlns:pic="http://schemas.openxmlformats.org/drawingml/2006/picture">
                  <pic:nvPicPr>
                    <pic:cNvPr id="0" name="image1.png" descr="C:\!!!!!!СПРАВКИ О ПРОЕКТАХ_2020\Шапки релизов с новым лого\АО%20ИК%20АСЭ%20(с)_вертикальный_рус.png"/>
                    <pic:cNvPicPr preferRelativeResize="0"/>
                  </pic:nvPicPr>
                  <pic:blipFill>
                    <a:blip r:embed="rId5"/>
                    <a:srcRect/>
                    <a:stretch>
                      <a:fillRect/>
                    </a:stretch>
                  </pic:blipFill>
                  <pic:spPr>
                    <a:xfrm>
                      <a:off x="0" y="0"/>
                      <a:ext cx="2238152" cy="2238152"/>
                    </a:xfrm>
                    <a:prstGeom prst="rect">
                      <a:avLst/>
                    </a:prstGeom>
                    <a:ln/>
                  </pic:spPr>
                </pic:pic>
              </a:graphicData>
            </a:graphic>
          </wp:inline>
        </w:drawing>
      </w:r>
    </w:p>
    <w:p w14:paraId="7D4729AE" w14:textId="77777777" w:rsidR="00A35DEC" w:rsidRDefault="00380A9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TEAM, the 10th International Scientific and Practical Conference of Young Nuclear Scientists and Specialists Has Been Held in St. Petersburg</w:t>
      </w:r>
    </w:p>
    <w:p w14:paraId="2E16EAED" w14:textId="77777777" w:rsidR="00A35DEC" w:rsidRDefault="00380A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TEAM-2023, the 10th International Scientific and Practical Conference of Young </w:t>
      </w:r>
      <w:proofErr w:type="spellStart"/>
      <w:r>
        <w:rPr>
          <w:rFonts w:ascii="Times New Roman" w:eastAsia="Times New Roman" w:hAnsi="Times New Roman" w:cs="Times New Roman"/>
          <w:sz w:val="28"/>
          <w:szCs w:val="28"/>
        </w:rPr>
        <w:t>Nucldar</w:t>
      </w:r>
      <w:proofErr w:type="spellEnd"/>
      <w:r>
        <w:rPr>
          <w:rFonts w:ascii="Times New Roman" w:eastAsia="Times New Roman" w:hAnsi="Times New Roman" w:cs="Times New Roman"/>
          <w:sz w:val="28"/>
          <w:szCs w:val="28"/>
        </w:rPr>
        <w:t xml:space="preserve"> Scientists and Specialists w</w:t>
      </w:r>
      <w:r>
        <w:rPr>
          <w:rFonts w:ascii="Times New Roman" w:eastAsia="Times New Roman" w:hAnsi="Times New Roman" w:cs="Times New Roman"/>
          <w:sz w:val="28"/>
          <w:szCs w:val="28"/>
        </w:rPr>
        <w:t xml:space="preserve">as organized by the Youth Society of </w:t>
      </w:r>
      <w:proofErr w:type="spellStart"/>
      <w:r>
        <w:rPr>
          <w:rFonts w:ascii="Times New Roman" w:eastAsia="Times New Roman" w:hAnsi="Times New Roman" w:cs="Times New Roman"/>
          <w:sz w:val="28"/>
          <w:szCs w:val="28"/>
        </w:rPr>
        <w:t>Atomenergoproekt</w:t>
      </w:r>
      <w:proofErr w:type="spellEnd"/>
      <w:r>
        <w:rPr>
          <w:rFonts w:ascii="Times New Roman" w:eastAsia="Times New Roman" w:hAnsi="Times New Roman" w:cs="Times New Roman"/>
          <w:sz w:val="28"/>
          <w:szCs w:val="28"/>
        </w:rPr>
        <w:t xml:space="preserve"> JSC St. Petersburg Branch Office - St. Petersburg Design Institute (Rosatom Engineering Division) and hosted about 350 participants from various countries.</w:t>
      </w:r>
    </w:p>
    <w:p w14:paraId="403F6389" w14:textId="77777777" w:rsidR="00A35DEC" w:rsidRDefault="00380A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“It's nice to see that the TEAM conference mad</w:t>
      </w:r>
      <w:r>
        <w:rPr>
          <w:rFonts w:ascii="Times New Roman" w:eastAsia="Times New Roman" w:hAnsi="Times New Roman" w:cs="Times New Roman"/>
          <w:sz w:val="28"/>
          <w:szCs w:val="28"/>
        </w:rPr>
        <w:t>e up and first held by St. Petersburg engineers in 2009, is evolving through expanding the geography of its participants and increasing the number of areas for discussion. In 2023, the conference is hosting young specialists from Russia, Egypt, Turkey, Alg</w:t>
      </w:r>
      <w:r>
        <w:rPr>
          <w:rFonts w:ascii="Times New Roman" w:eastAsia="Times New Roman" w:hAnsi="Times New Roman" w:cs="Times New Roman"/>
          <w:sz w:val="28"/>
          <w:szCs w:val="28"/>
        </w:rPr>
        <w:t xml:space="preserve">eria, Belarus, Nigeria, Ghana, Sri Lanka, Kazakhstan and Uzbekistan. It is they who will have to work in the nuclear and related industries in the future and guarantee technological and energy sovereignty in their countries,” said Konstantin </w:t>
      </w:r>
      <w:proofErr w:type="spellStart"/>
      <w:r>
        <w:rPr>
          <w:rFonts w:ascii="Times New Roman" w:eastAsia="Times New Roman" w:hAnsi="Times New Roman" w:cs="Times New Roman"/>
          <w:sz w:val="28"/>
          <w:szCs w:val="28"/>
        </w:rPr>
        <w:t>Ilyinsky</w:t>
      </w:r>
      <w:proofErr w:type="spellEnd"/>
      <w:r>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 xml:space="preserve">First Deputy General Director - Director of </w:t>
      </w:r>
      <w:proofErr w:type="spellStart"/>
      <w:r>
        <w:rPr>
          <w:rFonts w:ascii="Times New Roman" w:eastAsia="Times New Roman" w:hAnsi="Times New Roman" w:cs="Times New Roman"/>
          <w:sz w:val="28"/>
          <w:szCs w:val="28"/>
        </w:rPr>
        <w:t>Atomenergoproekt</w:t>
      </w:r>
      <w:proofErr w:type="spellEnd"/>
      <w:r>
        <w:rPr>
          <w:rFonts w:ascii="Times New Roman" w:eastAsia="Times New Roman" w:hAnsi="Times New Roman" w:cs="Times New Roman"/>
          <w:sz w:val="28"/>
          <w:szCs w:val="28"/>
        </w:rPr>
        <w:t xml:space="preserve"> JSC St. Petersburg Branch </w:t>
      </w:r>
      <w:proofErr w:type="gramStart"/>
      <w:r>
        <w:rPr>
          <w:rFonts w:ascii="Times New Roman" w:eastAsia="Times New Roman" w:hAnsi="Times New Roman" w:cs="Times New Roman"/>
          <w:sz w:val="28"/>
          <w:szCs w:val="28"/>
        </w:rPr>
        <w:t>Office  -</w:t>
      </w:r>
      <w:proofErr w:type="gramEnd"/>
      <w:r>
        <w:rPr>
          <w:rFonts w:ascii="Times New Roman" w:eastAsia="Times New Roman" w:hAnsi="Times New Roman" w:cs="Times New Roman"/>
          <w:sz w:val="28"/>
          <w:szCs w:val="28"/>
        </w:rPr>
        <w:t xml:space="preserve"> St. Petersburg Design Institute.</w:t>
      </w:r>
    </w:p>
    <w:p w14:paraId="5ADA45A6" w14:textId="77777777" w:rsidR="00A35DEC" w:rsidRDefault="00380A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this year, the foreign community has been represented by specialists of </w:t>
      </w:r>
      <w:r>
        <w:rPr>
          <w:rFonts w:ascii="Times New Roman" w:eastAsia="Times New Roman" w:hAnsi="Times New Roman" w:cs="Times New Roman"/>
          <w:sz w:val="28"/>
          <w:szCs w:val="28"/>
          <w:highlight w:val="white"/>
        </w:rPr>
        <w:t xml:space="preserve">AKKUYU NÜKLEER (Turkey), </w:t>
      </w:r>
      <w:r>
        <w:rPr>
          <w:rFonts w:ascii="Times New Roman" w:eastAsia="Times New Roman" w:hAnsi="Times New Roman" w:cs="Times New Roman"/>
          <w:sz w:val="28"/>
          <w:szCs w:val="28"/>
        </w:rPr>
        <w:t>CRNA/COMENA (Algeria), NPP</w:t>
      </w:r>
      <w:r>
        <w:rPr>
          <w:rFonts w:ascii="Times New Roman" w:eastAsia="Times New Roman" w:hAnsi="Times New Roman" w:cs="Times New Roman"/>
          <w:sz w:val="28"/>
          <w:szCs w:val="28"/>
        </w:rPr>
        <w:t xml:space="preserve">A (Egypt) companies and foreign students of St-Petersburg Polytechnical University named after Peter the Great, </w:t>
      </w:r>
      <w:proofErr w:type="spellStart"/>
      <w:r>
        <w:rPr>
          <w:rFonts w:ascii="Times New Roman" w:eastAsia="Times New Roman" w:hAnsi="Times New Roman" w:cs="Times New Roman"/>
          <w:sz w:val="28"/>
          <w:szCs w:val="28"/>
        </w:rPr>
        <w:t>Тomsk</w:t>
      </w:r>
      <w:proofErr w:type="spellEnd"/>
      <w:r>
        <w:rPr>
          <w:rFonts w:ascii="Times New Roman" w:eastAsia="Times New Roman" w:hAnsi="Times New Roman" w:cs="Times New Roman"/>
          <w:sz w:val="28"/>
          <w:szCs w:val="28"/>
        </w:rPr>
        <w:t xml:space="preserve"> Polytechnical University </w:t>
      </w:r>
      <w:proofErr w:type="gramStart"/>
      <w:r>
        <w:rPr>
          <w:rFonts w:ascii="Times New Roman" w:eastAsia="Times New Roman" w:hAnsi="Times New Roman" w:cs="Times New Roman"/>
          <w:sz w:val="28"/>
          <w:szCs w:val="28"/>
        </w:rPr>
        <w:t>and  NRNU</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MEPhI</w:t>
      </w:r>
      <w:proofErr w:type="spellEnd"/>
      <w:r>
        <w:rPr>
          <w:rFonts w:ascii="Times New Roman" w:eastAsia="Times New Roman" w:hAnsi="Times New Roman" w:cs="Times New Roman"/>
          <w:sz w:val="28"/>
          <w:szCs w:val="28"/>
        </w:rPr>
        <w:t>.</w:t>
      </w:r>
    </w:p>
    <w:p w14:paraId="02AEEB11" w14:textId="77777777" w:rsidR="00A35DEC" w:rsidRDefault="00380A93">
      <w:pPr>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The TEAM International Conference is held on a biennial basis. In 2023, the main topic of the ev</w:t>
      </w:r>
      <w:r>
        <w:rPr>
          <w:rFonts w:ascii="Times New Roman" w:eastAsia="Times New Roman" w:hAnsi="Times New Roman" w:cs="Times New Roman"/>
          <w:sz w:val="28"/>
          <w:szCs w:val="28"/>
        </w:rPr>
        <w:t xml:space="preserve">ent was focused on youth solutions to achieve technological leadership through the implementation of innovations in the nuclear industry. In addition to the tight agenda of the business </w:t>
      </w:r>
      <w:proofErr w:type="spellStart"/>
      <w:r>
        <w:rPr>
          <w:rFonts w:ascii="Times New Roman" w:eastAsia="Times New Roman" w:hAnsi="Times New Roman" w:cs="Times New Roman"/>
          <w:sz w:val="28"/>
          <w:szCs w:val="28"/>
        </w:rPr>
        <w:t>programme</w:t>
      </w:r>
      <w:proofErr w:type="spellEnd"/>
      <w:r>
        <w:rPr>
          <w:rFonts w:ascii="Times New Roman" w:eastAsia="Times New Roman" w:hAnsi="Times New Roman" w:cs="Times New Roman"/>
          <w:sz w:val="28"/>
          <w:szCs w:val="28"/>
        </w:rPr>
        <w:t>, Russian and foreign young specialists visited St. Petersbur</w:t>
      </w:r>
      <w:r>
        <w:rPr>
          <w:rFonts w:ascii="Times New Roman" w:eastAsia="Times New Roman" w:hAnsi="Times New Roman" w:cs="Times New Roman"/>
          <w:sz w:val="28"/>
          <w:szCs w:val="28"/>
        </w:rPr>
        <w:t xml:space="preserve">g industrial enterprises, such as the Baltic Plant, </w:t>
      </w:r>
      <w:proofErr w:type="spellStart"/>
      <w:r>
        <w:rPr>
          <w:rFonts w:ascii="Times New Roman" w:eastAsia="Times New Roman" w:hAnsi="Times New Roman" w:cs="Times New Roman"/>
          <w:sz w:val="28"/>
          <w:szCs w:val="28"/>
        </w:rPr>
        <w:t>Izhora</w:t>
      </w:r>
      <w:proofErr w:type="spellEnd"/>
      <w:r>
        <w:rPr>
          <w:rFonts w:ascii="Times New Roman" w:eastAsia="Times New Roman" w:hAnsi="Times New Roman" w:cs="Times New Roman"/>
          <w:sz w:val="28"/>
          <w:szCs w:val="28"/>
        </w:rPr>
        <w:t xml:space="preserve"> Plant, Leningrad Metallic Plant and NIIEFA JSC; moreover, they got acquainted with the NPP virtual control room designed by the St-Petersburg design institute specialists and allowing to calculate </w:t>
      </w:r>
      <w:r>
        <w:rPr>
          <w:rFonts w:ascii="Times New Roman" w:eastAsia="Times New Roman" w:hAnsi="Times New Roman" w:cs="Times New Roman"/>
          <w:sz w:val="28"/>
          <w:szCs w:val="28"/>
        </w:rPr>
        <w:t>and justify all technological solutions for the future nuclear power plant at the design stage.</w:t>
      </w:r>
      <w:r>
        <w:rPr>
          <w:rFonts w:ascii="Times New Roman" w:eastAsia="Times New Roman" w:hAnsi="Times New Roman" w:cs="Times New Roman"/>
          <w:sz w:val="28"/>
          <w:szCs w:val="28"/>
        </w:rPr>
        <w:br/>
      </w:r>
    </w:p>
    <w:p w14:paraId="0B7CA506" w14:textId="77777777" w:rsidR="00A35DEC" w:rsidRDefault="00380A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As part of the conference, 13 topical workshops were held. The participants discussed topical issues in the following areas: Automatic process control systems </w:t>
      </w:r>
      <w:r>
        <w:rPr>
          <w:rFonts w:ascii="Times New Roman" w:eastAsia="Times New Roman" w:hAnsi="Times New Roman" w:cs="Times New Roman"/>
          <w:sz w:val="28"/>
          <w:szCs w:val="28"/>
        </w:rPr>
        <w:t xml:space="preserve">in nuclear projects; closed nuclear fuel cycle.  Management of radioactive waste and spent nuclear fuel; Survey, design and construction of nuclear power facilities; Information modeling; International youth research in the field of nuclear energy; Safety </w:t>
      </w:r>
      <w:r>
        <w:rPr>
          <w:rFonts w:ascii="Times New Roman" w:eastAsia="Times New Roman" w:hAnsi="Times New Roman" w:cs="Times New Roman"/>
          <w:sz w:val="28"/>
          <w:szCs w:val="28"/>
        </w:rPr>
        <w:t xml:space="preserve">analysis of nuclear facilities; Commissioning and operation, lessons </w:t>
      </w:r>
      <w:proofErr w:type="spellStart"/>
      <w:r>
        <w:rPr>
          <w:rFonts w:ascii="Times New Roman" w:eastAsia="Times New Roman" w:hAnsi="Times New Roman" w:cs="Times New Roman"/>
          <w:sz w:val="28"/>
          <w:szCs w:val="28"/>
        </w:rPr>
        <w:t>leaned</w:t>
      </w:r>
      <w:proofErr w:type="spellEnd"/>
      <w:r>
        <w:rPr>
          <w:rFonts w:ascii="Times New Roman" w:eastAsia="Times New Roman" w:hAnsi="Times New Roman" w:cs="Times New Roman"/>
          <w:sz w:val="28"/>
          <w:szCs w:val="28"/>
        </w:rPr>
        <w:t xml:space="preserve">; Design analysis of structures, systems and components; Thermonuclear fusion; Chemical technology and materials study; Power plants; Youth policy and Commitment Management. All in </w:t>
      </w:r>
      <w:r>
        <w:rPr>
          <w:rFonts w:ascii="Times New Roman" w:eastAsia="Times New Roman" w:hAnsi="Times New Roman" w:cs="Times New Roman"/>
          <w:sz w:val="28"/>
          <w:szCs w:val="28"/>
        </w:rPr>
        <w:t>all, 277 reports were presented.</w:t>
      </w:r>
    </w:p>
    <w:p w14:paraId="47D39359" w14:textId="77777777" w:rsidR="00A35DEC" w:rsidRDefault="00380A93">
      <w:pPr>
        <w:jc w:val="both"/>
        <w:rPr>
          <w:rFonts w:ascii="Times New Roman" w:eastAsia="Times New Roman" w:hAnsi="Times New Roman" w:cs="Times New Roman"/>
          <w:b/>
          <w:i/>
          <w:sz w:val="24"/>
          <w:szCs w:val="24"/>
        </w:rPr>
      </w:pPr>
      <w:r>
        <w:rPr>
          <w:rFonts w:ascii="Times New Roman" w:eastAsia="Times New Roman" w:hAnsi="Times New Roman" w:cs="Times New Roman"/>
          <w:color w:val="1A1A1A"/>
          <w:sz w:val="28"/>
          <w:szCs w:val="28"/>
          <w:highlight w:val="white"/>
        </w:rPr>
        <w:t>The RF Government and large Russian companies pay great attention to systematic work dedicated to the formation and implementation of a long-term strategy for the development and use of human potential to achieve global tec</w:t>
      </w:r>
      <w:r>
        <w:rPr>
          <w:rFonts w:ascii="Times New Roman" w:eastAsia="Times New Roman" w:hAnsi="Times New Roman" w:cs="Times New Roman"/>
          <w:color w:val="1A1A1A"/>
          <w:sz w:val="28"/>
          <w:szCs w:val="28"/>
          <w:highlight w:val="white"/>
        </w:rPr>
        <w:t>hnological leadership in the leading sectors of the domestic industry.</w:t>
      </w:r>
    </w:p>
    <w:p w14:paraId="1AC8A8B3" w14:textId="77777777" w:rsidR="00A35DEC" w:rsidRDefault="00A35DEC">
      <w:pPr>
        <w:spacing w:after="0" w:line="240" w:lineRule="auto"/>
        <w:rPr>
          <w:rFonts w:ascii="Times New Roman" w:eastAsia="Times New Roman" w:hAnsi="Times New Roman" w:cs="Times New Roman"/>
          <w:b/>
          <w:i/>
          <w:sz w:val="24"/>
          <w:szCs w:val="24"/>
        </w:rPr>
      </w:pPr>
    </w:p>
    <w:p w14:paraId="1EFC8A62" w14:textId="77777777" w:rsidR="00A35DEC" w:rsidRDefault="00380A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For reference:</w:t>
      </w:r>
    </w:p>
    <w:p w14:paraId="5955A3A6" w14:textId="77777777" w:rsidR="00A35DEC" w:rsidRDefault="00380A9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Rosatom State Corporation Engineering Division unites the leading companies of the nuclear industry, namely: </w:t>
      </w:r>
      <w:proofErr w:type="spellStart"/>
      <w:r>
        <w:rPr>
          <w:rFonts w:ascii="Times New Roman" w:eastAsia="Times New Roman" w:hAnsi="Times New Roman" w:cs="Times New Roman"/>
          <w:i/>
          <w:sz w:val="24"/>
          <w:szCs w:val="24"/>
        </w:rPr>
        <w:t>Atomstroyexport</w:t>
      </w:r>
      <w:proofErr w:type="spellEnd"/>
      <w:r>
        <w:rPr>
          <w:rFonts w:ascii="Times New Roman" w:eastAsia="Times New Roman" w:hAnsi="Times New Roman" w:cs="Times New Roman"/>
          <w:i/>
          <w:sz w:val="24"/>
          <w:szCs w:val="24"/>
        </w:rPr>
        <w:t xml:space="preserve"> JSC (Moscow, Nizhny Novgorod, branches in Russia and abroad), Joint Design Institute - </w:t>
      </w:r>
      <w:proofErr w:type="spellStart"/>
      <w:r>
        <w:rPr>
          <w:rFonts w:ascii="Times New Roman" w:eastAsia="Times New Roman" w:hAnsi="Times New Roman" w:cs="Times New Roman"/>
          <w:i/>
          <w:sz w:val="24"/>
          <w:szCs w:val="24"/>
        </w:rPr>
        <w:t>Atomenergoproekt</w:t>
      </w:r>
      <w:proofErr w:type="spellEnd"/>
      <w:r>
        <w:rPr>
          <w:rFonts w:ascii="Times New Roman" w:eastAsia="Times New Roman" w:hAnsi="Times New Roman" w:cs="Times New Roman"/>
          <w:i/>
          <w:sz w:val="24"/>
          <w:szCs w:val="24"/>
        </w:rPr>
        <w:t xml:space="preserve"> JSC (Moscow, Nizhny Nov</w:t>
      </w:r>
      <w:r>
        <w:rPr>
          <w:rFonts w:ascii="Times New Roman" w:eastAsia="Times New Roman" w:hAnsi="Times New Roman" w:cs="Times New Roman"/>
          <w:i/>
          <w:sz w:val="24"/>
          <w:szCs w:val="24"/>
        </w:rPr>
        <w:t>gorod, St. Petersburg branches - design institutes, branches in Russia and abroad, R&amp;D branches) and subsidiary construction organizations.</w:t>
      </w:r>
    </w:p>
    <w:p w14:paraId="4573ED2C" w14:textId="77777777" w:rsidR="00A35DEC" w:rsidRDefault="00380A9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Engineering Division ranks first in the world by the order portfolio and the number of NPPs constructed simultan</w:t>
      </w:r>
      <w:r>
        <w:rPr>
          <w:rFonts w:ascii="Times New Roman" w:eastAsia="Times New Roman" w:hAnsi="Times New Roman" w:cs="Times New Roman"/>
          <w:i/>
          <w:sz w:val="24"/>
          <w:szCs w:val="24"/>
        </w:rPr>
        <w:t>eously across the world.</w:t>
      </w:r>
    </w:p>
    <w:p w14:paraId="0B5E90F9" w14:textId="77777777" w:rsidR="00A35DEC" w:rsidRDefault="00380A9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About 80% of the Division’s revenues originate from foreign projects.</w:t>
      </w:r>
    </w:p>
    <w:p w14:paraId="45EC47B8" w14:textId="77777777" w:rsidR="00A35DEC" w:rsidRDefault="00380A9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Engineering Division implements construction projects for high-power NPPs in Russia and across the world, renders a full range of EPC, EP, EPC(M) services in</w:t>
      </w:r>
      <w:r>
        <w:rPr>
          <w:rFonts w:ascii="Times New Roman" w:eastAsia="Times New Roman" w:hAnsi="Times New Roman" w:cs="Times New Roman"/>
          <w:i/>
          <w:sz w:val="24"/>
          <w:szCs w:val="24"/>
        </w:rPr>
        <w:t xml:space="preserve">cluding project management and design activities, and develops </w:t>
      </w:r>
      <w:proofErr w:type="gramStart"/>
      <w:r>
        <w:rPr>
          <w:rFonts w:ascii="Times New Roman" w:eastAsia="Times New Roman" w:hAnsi="Times New Roman" w:cs="Times New Roman"/>
          <w:i/>
          <w:sz w:val="24"/>
          <w:szCs w:val="24"/>
        </w:rPr>
        <w:t>Multi-D</w:t>
      </w:r>
      <w:proofErr w:type="gramEnd"/>
      <w:r>
        <w:rPr>
          <w:rFonts w:ascii="Times New Roman" w:eastAsia="Times New Roman" w:hAnsi="Times New Roman" w:cs="Times New Roman"/>
          <w:i/>
          <w:sz w:val="24"/>
          <w:szCs w:val="24"/>
        </w:rPr>
        <w:t xml:space="preserve"> technologies for the management of complex engineering facilities. The Division relies on the achievements of the Russian nuclear industry and innovative state-of-the-art technologies.</w:t>
      </w:r>
    </w:p>
    <w:p w14:paraId="14883E94" w14:textId="77777777" w:rsidR="00A35DEC" w:rsidRDefault="00380A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We construct reliable and safe NPPs with </w:t>
      </w:r>
      <w:r>
        <w:rPr>
          <w:rFonts w:ascii="Times New Roman" w:eastAsia="Times New Roman" w:hAnsi="Times New Roman" w:cs="Times New Roman"/>
          <w:sz w:val="24"/>
          <w:szCs w:val="24"/>
        </w:rPr>
        <w:t xml:space="preserve">Gen III+ </w:t>
      </w:r>
      <w:r>
        <w:rPr>
          <w:rFonts w:ascii="Times New Roman" w:eastAsia="Times New Roman" w:hAnsi="Times New Roman" w:cs="Times New Roman"/>
          <w:i/>
          <w:sz w:val="24"/>
          <w:szCs w:val="24"/>
        </w:rPr>
        <w:t>VVER reactors that are in line with all international requirements and recommendations.</w:t>
      </w:r>
    </w:p>
    <w:p w14:paraId="49D57A59" w14:textId="77777777" w:rsidR="00A35DEC" w:rsidRDefault="00380A93">
      <w:pPr>
        <w:spacing w:after="0" w:line="240" w:lineRule="auto"/>
        <w:jc w:val="both"/>
        <w:rPr>
          <w:rFonts w:ascii="Times New Roman" w:eastAsia="Times New Roman" w:hAnsi="Times New Roman" w:cs="Times New Roman"/>
          <w:sz w:val="24"/>
          <w:szCs w:val="24"/>
        </w:rPr>
      </w:pPr>
      <w:hyperlink r:id="rId6">
        <w:r>
          <w:rPr>
            <w:rFonts w:ascii="Times New Roman" w:eastAsia="Times New Roman" w:hAnsi="Times New Roman" w:cs="Times New Roman"/>
            <w:i/>
            <w:color w:val="0000FF"/>
            <w:sz w:val="24"/>
            <w:szCs w:val="24"/>
            <w:u w:val="single"/>
          </w:rPr>
          <w:t>www.ase-ec.ru</w:t>
        </w:r>
      </w:hyperlink>
    </w:p>
    <w:p w14:paraId="1DC38638" w14:textId="77777777" w:rsidR="00A35DEC" w:rsidRDefault="00A35DEC"/>
    <w:p w14:paraId="7100DCAC" w14:textId="77777777" w:rsidR="00A35DEC" w:rsidRDefault="00A35DEC">
      <w:pPr>
        <w:spacing w:after="0" w:line="240" w:lineRule="auto"/>
        <w:rPr>
          <w:rFonts w:ascii="Times New Roman" w:eastAsia="Times New Roman" w:hAnsi="Times New Roman" w:cs="Times New Roman"/>
          <w:b/>
          <w:i/>
          <w:sz w:val="24"/>
          <w:szCs w:val="24"/>
        </w:rPr>
      </w:pPr>
    </w:p>
    <w:sectPr w:rsidR="00A35DEC">
      <w:pgSz w:w="11906" w:h="16838"/>
      <w:pgMar w:top="426" w:right="566" w:bottom="1134"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DEC"/>
    <w:rsid w:val="00380A93"/>
    <w:rsid w:val="00A35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4E94"/>
  <w15:docId w15:val="{C7652562-2157-4D01-8ADC-DD59E7D4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Текст Знак"/>
    <w:rPr>
      <w:rFonts w:ascii="Tahoma" w:hAnsi="Tahoma" w:cs="Tahoma"/>
      <w:lang w:val="en-US" w:eastAsia="ar-SA" w:bidi="ar-SA"/>
    </w:rPr>
  </w:style>
  <w:style w:type="character" w:customStyle="1" w:styleId="11">
    <w:name w:val="Знак примечания1"/>
    <w:rPr>
      <w:sz w:val="16"/>
      <w:szCs w:val="16"/>
    </w:rPr>
  </w:style>
  <w:style w:type="character" w:customStyle="1" w:styleId="a6">
    <w:name w:val="Текст примечания Знак"/>
    <w:rPr>
      <w:rFonts w:ascii="Calibri" w:eastAsia="Calibri" w:hAnsi="Calibri" w:cs="Calibri"/>
    </w:rPr>
  </w:style>
  <w:style w:type="character" w:customStyle="1" w:styleId="a7">
    <w:name w:val="Тема примечания Знак"/>
    <w:rPr>
      <w:rFonts w:ascii="Calibri" w:eastAsia="Calibri" w:hAnsi="Calibri" w:cs="Calibri"/>
      <w:b/>
      <w:bCs/>
    </w:rPr>
  </w:style>
  <w:style w:type="character" w:customStyle="1" w:styleId="a8">
    <w:name w:val="Текст выноски Знак"/>
    <w:rPr>
      <w:rFonts w:ascii="Tahoma" w:eastAsia="Calibri" w:hAnsi="Tahoma" w:cs="Tahoma"/>
      <w:sz w:val="16"/>
      <w:szCs w:val="16"/>
    </w:rPr>
  </w:style>
  <w:style w:type="character" w:styleId="a9">
    <w:name w:val="Strong"/>
    <w:qFormat/>
    <w:rPr>
      <w:b/>
      <w:bCs/>
    </w:rPr>
  </w:style>
  <w:style w:type="character" w:customStyle="1" w:styleId="aa">
    <w:name w:val="Основной текст Знак"/>
    <w:rPr>
      <w:rFonts w:ascii="Calibri" w:eastAsia="Calibri" w:hAnsi="Calibri" w:cs="Calibri"/>
      <w:sz w:val="22"/>
      <w:szCs w:val="22"/>
    </w:rPr>
  </w:style>
  <w:style w:type="character" w:customStyle="1" w:styleId="ListLabel1">
    <w:name w:val="ListLabel 1"/>
    <w:rPr>
      <w:rFonts w:cs="Courier New"/>
      <w:sz w:val="16"/>
      <w:szCs w:val="16"/>
    </w:rPr>
  </w:style>
  <w:style w:type="character" w:customStyle="1" w:styleId="ListLabel2">
    <w:name w:val="ListLabel 2"/>
    <w:rPr>
      <w:rFonts w:cs="Courier New"/>
    </w:rPr>
  </w:style>
  <w:style w:type="paragraph" w:customStyle="1" w:styleId="12">
    <w:name w:val="Заголовок1"/>
    <w:basedOn w:val="a"/>
    <w:next w:val="ab"/>
    <w:pPr>
      <w:keepNext/>
      <w:spacing w:before="240" w:after="120"/>
    </w:pPr>
    <w:rPr>
      <w:rFonts w:ascii="Arial" w:eastAsia="Microsoft YaHei" w:hAnsi="Arial" w:cs="Lucida Sans"/>
      <w:sz w:val="28"/>
      <w:szCs w:val="28"/>
    </w:rPr>
  </w:style>
  <w:style w:type="paragraph" w:styleId="ab">
    <w:name w:val="Body Text"/>
    <w:basedOn w:val="a"/>
    <w:pPr>
      <w:spacing w:after="120"/>
    </w:pPr>
  </w:style>
  <w:style w:type="paragraph" w:styleId="ac">
    <w:name w:val="List"/>
    <w:basedOn w:val="ab"/>
    <w:rPr>
      <w:rFonts w:cs="Lucida Sans"/>
    </w:rPr>
  </w:style>
  <w:style w:type="paragraph" w:customStyle="1" w:styleId="13">
    <w:name w:val="Название1"/>
    <w:basedOn w:val="a"/>
    <w:pPr>
      <w:suppressLineNumbers/>
      <w:spacing w:before="120" w:after="120"/>
    </w:pPr>
    <w:rPr>
      <w:rFonts w:cs="Lucida Sans"/>
      <w:i/>
      <w:iCs/>
      <w:sz w:val="24"/>
      <w:szCs w:val="24"/>
    </w:rPr>
  </w:style>
  <w:style w:type="paragraph" w:customStyle="1" w:styleId="14">
    <w:name w:val="Указатель1"/>
    <w:basedOn w:val="a"/>
    <w:pPr>
      <w:suppressLineNumbers/>
    </w:pPr>
    <w:rPr>
      <w:rFonts w:cs="Lucida Sans"/>
    </w:rPr>
  </w:style>
  <w:style w:type="paragraph" w:customStyle="1" w:styleId="15">
    <w:name w:val="Обычный (веб)1"/>
    <w:basedOn w:val="a"/>
    <w:pPr>
      <w:spacing w:before="100" w:after="100" w:line="100" w:lineRule="atLeast"/>
    </w:pPr>
    <w:rPr>
      <w:rFonts w:ascii="Times New Roman" w:hAnsi="Times New Roman"/>
      <w:sz w:val="24"/>
      <w:szCs w:val="24"/>
    </w:rPr>
  </w:style>
  <w:style w:type="paragraph" w:customStyle="1" w:styleId="16">
    <w:name w:val="Текст1"/>
    <w:basedOn w:val="a"/>
    <w:pPr>
      <w:spacing w:after="0" w:line="100" w:lineRule="atLeast"/>
    </w:pPr>
    <w:rPr>
      <w:rFonts w:ascii="Tahoma" w:eastAsia="Times New Roman" w:hAnsi="Tahoma" w:cs="Tahoma"/>
      <w:sz w:val="20"/>
      <w:szCs w:val="20"/>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SimSun" w:eastAsia="SimSun" w:hAnsi="SimSun" w:cs="SimSun"/>
      <w:sz w:val="24"/>
      <w:szCs w:val="24"/>
    </w:rPr>
  </w:style>
  <w:style w:type="paragraph" w:customStyle="1" w:styleId="Default">
    <w:name w:val="Default"/>
    <w:pPr>
      <w:suppressAutoHyphens/>
    </w:pPr>
    <w:rPr>
      <w:color w:val="000000"/>
      <w:sz w:val="24"/>
      <w:szCs w:val="24"/>
      <w:lang w:eastAsia="ar-SA"/>
    </w:rPr>
  </w:style>
  <w:style w:type="paragraph" w:customStyle="1" w:styleId="17">
    <w:name w:val="Без интервала1"/>
    <w:pPr>
      <w:suppressAutoHyphens/>
    </w:pPr>
    <w:rPr>
      <w:lang w:eastAsia="ar-SA"/>
    </w:rPr>
  </w:style>
  <w:style w:type="paragraph" w:customStyle="1" w:styleId="18">
    <w:name w:val="Текст примечания1"/>
    <w:basedOn w:val="a"/>
    <w:rPr>
      <w:sz w:val="20"/>
      <w:szCs w:val="20"/>
    </w:rPr>
  </w:style>
  <w:style w:type="paragraph" w:customStyle="1" w:styleId="19">
    <w:name w:val="Тема примечания1"/>
    <w:basedOn w:val="18"/>
    <w:rPr>
      <w:b/>
      <w:bCs/>
    </w:rPr>
  </w:style>
  <w:style w:type="paragraph" w:customStyle="1" w:styleId="1a">
    <w:name w:val="Текст выноски1"/>
    <w:basedOn w:val="a"/>
    <w:pPr>
      <w:spacing w:after="0" w:line="100" w:lineRule="atLeast"/>
    </w:pPr>
    <w:rPr>
      <w:rFonts w:ascii="Tahoma" w:hAnsi="Tahoma" w:cs="Tahoma"/>
      <w:sz w:val="16"/>
      <w:szCs w:val="16"/>
    </w:rPr>
  </w:style>
  <w:style w:type="paragraph" w:customStyle="1" w:styleId="1b">
    <w:name w:val="Рецензия1"/>
    <w:pPr>
      <w:suppressAutoHyphens/>
    </w:pPr>
    <w:rPr>
      <w:lang w:eastAsia="ar-SA"/>
    </w:rPr>
  </w:style>
  <w:style w:type="paragraph" w:customStyle="1" w:styleId="style6">
    <w:name w:val="style6"/>
    <w:basedOn w:val="a"/>
    <w:pPr>
      <w:spacing w:before="100" w:after="100" w:line="100" w:lineRule="atLeast"/>
    </w:pPr>
    <w:rPr>
      <w:rFonts w:ascii="Times New Roman" w:eastAsia="Times New Roman" w:hAnsi="Times New Roman"/>
      <w:b/>
      <w:bCs/>
      <w:sz w:val="27"/>
      <w:szCs w:val="27"/>
    </w:rPr>
  </w:style>
  <w:style w:type="paragraph" w:styleId="ad">
    <w:name w:val="Balloon Text"/>
    <w:basedOn w:val="a"/>
    <w:link w:val="1c"/>
    <w:uiPriority w:val="99"/>
    <w:semiHidden/>
    <w:unhideWhenUsed/>
    <w:rsid w:val="00303D25"/>
    <w:pPr>
      <w:spacing w:after="0" w:line="240" w:lineRule="auto"/>
    </w:pPr>
    <w:rPr>
      <w:rFonts w:ascii="Tahoma" w:hAnsi="Tahoma" w:cs="Tahoma"/>
      <w:sz w:val="16"/>
      <w:szCs w:val="16"/>
    </w:rPr>
  </w:style>
  <w:style w:type="character" w:customStyle="1" w:styleId="1c">
    <w:name w:val="Текст выноски Знак1"/>
    <w:basedOn w:val="a0"/>
    <w:link w:val="ad"/>
    <w:uiPriority w:val="99"/>
    <w:semiHidden/>
    <w:rsid w:val="00303D25"/>
    <w:rPr>
      <w:rFonts w:ascii="Tahoma" w:eastAsia="Calibri" w:hAnsi="Tahoma" w:cs="Tahoma"/>
      <w:sz w:val="16"/>
      <w:szCs w:val="16"/>
      <w:lang w:eastAsia="ar-SA"/>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e-ec.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mcxomL6Pc4mTVKLSgbWoIPtgLQ==">CgMxLjAyCGguZ2pkZ3hzOAByITE3MWtrOUVyVVZ2TnBnS0hoQXJSRVpla1ljNzk1YjJWOA==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Герасимова</dc:creator>
  <cp:lastModifiedBy>Павел Деревянко</cp:lastModifiedBy>
  <cp:revision>2</cp:revision>
  <dcterms:created xsi:type="dcterms:W3CDTF">2023-07-03T10:28:00Z</dcterms:created>
  <dcterms:modified xsi:type="dcterms:W3CDTF">2023-07-03T10:28:00Z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NIAEP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