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3AAF" w:rsidRDefault="00EC3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EC3AAF" w:rsidRDefault="00A46302">
      <w:pPr>
        <w:spacing w:after="120"/>
        <w:ind w:right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Более 10 000 индийских студентов приняли участие в научной олимпиаде Росатома «Точная энергия-2023» </w:t>
      </w:r>
    </w:p>
    <w:p w14:paraId="00000003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Русском доме в г. Ченнаи (Индия, штат Тамил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состоялась церемония награждения победителей научной олимпиады «Точная энергия-2023» по математике, физике и химии, организованной АО «Атомстройэкспорт» (АО АСЭ, Инжиниринговый дивизион Госкорпорации «Рос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атом»). Олимпиада проводилась совместно с АНО «Энергия будущего» при поддержке Русского дома в г. Ченнаи, Московского инженерно-физического института (МИФИ) и Научно-технического центра штата Тамил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Росатом совместно с Индийской корпорацией </w:t>
      </w:r>
      <w:r>
        <w:rPr>
          <w:rFonts w:ascii="Times New Roman" w:eastAsia="Times New Roman" w:hAnsi="Times New Roman" w:cs="Times New Roman"/>
          <w:sz w:val="28"/>
          <w:szCs w:val="28"/>
        </w:rPr>
        <w:t>по атомной энергии (ИКАЭЛ) строит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Куданкулам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4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Олимпиада проводится в третий раз в Тамил-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Наду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, где Росатом совместно с Индийской корпорацией по атомной энергии (ИКАЭЛ) сооружает АЭС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Куданкулам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». В предварительном туре приняли участие более 10000 студ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ентов, более 700 из них вышли в финальный тур.</w:t>
      </w:r>
    </w:p>
    <w:p w14:paraId="00000005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«Мы уже в третий раз проводим эту уникальное мероприятие — Олимпиаду «Точная энергия» по математике, физике и химии. Кто знает, может быть, именно участие в такой межпредметной олимпиаде на острие современных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научных и экспериментальных достижений послужит для вас стимулом в выборе будущей профессии!» - отметила руководитель управления коммуникаций АО АСЭ 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Деменцова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обращаясь к участникам.</w:t>
      </w:r>
    </w:p>
    <w:p w14:paraId="00000006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общей сложности студенты из 30 университетов и колледжей штата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соревнованиях старшего уровня, где необходимо было выполнить письменные задания по математике, физике и химии. Учащиеся младших классов из 53 школ участвовали в соревнованиях младшего уровня, состоящих из кросс-предметных вопросо</w:t>
      </w:r>
      <w:r>
        <w:rPr>
          <w:rFonts w:ascii="Times New Roman" w:eastAsia="Times New Roman" w:hAnsi="Times New Roman" w:cs="Times New Roman"/>
          <w:sz w:val="28"/>
          <w:szCs w:val="28"/>
        </w:rPr>
        <w:t>в по естествознанию. Первый тур конкурса оценивало жюри, состоящее из заслуженных педагогов местных учебных заведений, финальный тур – специально приглашенные российские профессора МИФИ.</w:t>
      </w:r>
    </w:p>
    <w:p w14:paraId="00000007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Награды получили три лучших участника старшего уровня по каждому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мету, а также первые три победителя младшего уровня. </w:t>
      </w:r>
    </w:p>
    <w:p w14:paraId="00000008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Победителями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Мадхубала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 из Мадрасского Университета (физика),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Дев из Университета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Пондичерри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(математика),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Гириш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из Университета Анны (химия)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Адарш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Шандрамули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Boys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опалапураме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(младший уровень).</w:t>
      </w:r>
    </w:p>
    <w:p w14:paraId="00000009" w14:textId="77777777" w:rsidR="00EC3AAF" w:rsidRDefault="00A463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Награды вручали исполняющий обязанности генерального консула, консул Российской Федерации в г. Ченнаи Дмитрий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управления коммуникаций АО «Атомстройэкспорт» 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Деменцова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директор Российского центра нау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и культуры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г.Ченнаи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Геннадий Рогалев, исполнительный директор Научно-технического центра штата Тамил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И.К. Ленин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Тамилкован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менеджер по связям с общественностью компании «Росатом Южная Азия» Ксения Елкина и кандидат технических наук, доцент кафед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ядерной физики и технологий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института атомной энергетики МИФИ Роман Фомин. Также в церемонии приняли участие представители местных учебных заведений и местной элиты. </w:t>
      </w:r>
    </w:p>
    <w:p w14:paraId="0000000A" w14:textId="77777777" w:rsidR="00EC3AAF" w:rsidRDefault="00EC3A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B" w14:textId="77777777" w:rsidR="00EC3AAF" w:rsidRDefault="00A463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 xml:space="preserve">Справка об Инжиниринговом </w:t>
        </w:r>
        <w:r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>дивизионе Росатома</w:t>
        </w:r>
      </w:hyperlink>
    </w:p>
    <w:p w14:paraId="0000000C" w14:textId="77777777" w:rsidR="00EC3AAF" w:rsidRDefault="00EC3A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D" w14:textId="77777777" w:rsidR="00EC3AAF" w:rsidRDefault="00A4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0E" w14:textId="77777777" w:rsidR="00EC3AAF" w:rsidRDefault="00A4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0000000F" w14:textId="77777777" w:rsidR="00EC3AAF" w:rsidRDefault="00A4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в разных странах мира.</w:t>
      </w:r>
    </w:p>
    <w:p w14:paraId="00000010" w14:textId="77777777" w:rsidR="00EC3AAF" w:rsidRDefault="00A4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00000011" w14:textId="77777777" w:rsidR="00EC3AAF" w:rsidRDefault="00A4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2" w14:textId="77777777" w:rsidR="00EC3AAF" w:rsidRDefault="00A4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Мы строим надежные и безопасные АЭС с реакторами 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ипа ВВЭР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>III+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которые отвечают всем международным требованиям и рекомендациям.</w:t>
      </w:r>
    </w:p>
    <w:p w14:paraId="00000013" w14:textId="77777777" w:rsidR="00EC3AAF" w:rsidRDefault="00A4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</w:pPr>
      <w:hyperlink r:id="rId6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p w14:paraId="00000014" w14:textId="77777777" w:rsidR="00EC3AAF" w:rsidRDefault="00A463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Россия последовательно развивает международные торгово-экономические и гуманитарные взаимоотношения, делая упор на сотрудничество с дружественными странами, где продолжается реализация крупных совместных проектов в сфере энергетики. Росатом остается привер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женным целям Устойчивого развития и вносит огромный вклад в рост благосостояния жителей территорий своего присутствия, тем самым укрепляя свое положение на международной арене. Культурный обмен, образовательные и научные проекты являются неотъемлемой часть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 социальной составляющей деятельности госкорпорации за рубежом.</w:t>
      </w:r>
    </w:p>
    <w:p w14:paraId="00000015" w14:textId="77777777" w:rsidR="00EC3AAF" w:rsidRDefault="00EC3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EC3AAF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AF"/>
    <w:rsid w:val="00A46302"/>
    <w:rsid w:val="00E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BEC69-B99A-45C9-B409-DBE3A4CC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Calibri" w:eastAsia="Calibri" w:hAnsi="Calibri" w:cs="Calibri"/>
    </w:rPr>
  </w:style>
  <w:style w:type="character" w:customStyle="1" w:styleId="a7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semiHidden/>
    <w:unhideWhenUsed/>
    <w:rsid w:val="004B1A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-ec.ru/" TargetMode="External"/><Relationship Id="rId5" Type="http://schemas.openxmlformats.org/officeDocument/2006/relationships/hyperlink" Target="https://www.ase-ec.r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w+h6tPFSp7nIlo4iU6LvTk1ag==">CgMxLjAyCGguZ2pkZ3hzOAByITFKaWpFLTJ4RlNSUTRncXFXUEJpT2s5X0hieHRmVVlLNA==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2023-07-26T11:55:00Z</dcterms:created>
  <dcterms:modified xsi:type="dcterms:W3CDTF">2023-07-26T11:55:00Z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