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A41CA" w:rsidRDefault="005A13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Проекты Росатома в ветроэнергетике</w:t>
      </w:r>
    </w:p>
    <w:p w14:paraId="00000002" w14:textId="77777777" w:rsidR="00BA41CA" w:rsidRDefault="00BA41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3" w14:textId="77777777" w:rsidR="00BA41CA" w:rsidRDefault="005A13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Общая информация.</w:t>
      </w:r>
    </w:p>
    <w:p w14:paraId="00000004" w14:textId="77777777" w:rsidR="00BA41CA" w:rsidRDefault="005A133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диверсифицировать портфель предложений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низкоуглеродной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энергетике является логическим продолжением развития бизнеса Росатома. Такие шаги Госкорпорации напрямую способствуют реализации государственной стратегии, предусматривающей переход до 2025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модели экологически устойчивого развития.</w:t>
      </w:r>
    </w:p>
    <w:p w14:paraId="00000005" w14:textId="77777777" w:rsidR="00BA41CA" w:rsidRDefault="005A133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Реализацией ветроэнергетических проектов занимается дочерняя компания (ветроэнергетический дивизион) Росатома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 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реализует общую стратегию Госкорпорации по производству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низкоуглеро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видов энергии на основе атомной энергии и энергии ветра. Предприятия в контуре 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осуществляют поставки электроэнергии, выработанной на основе ветра, социально ответственным поставщикам. К настоящему времени уже подписан ряд соглашений с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кими компаниями, как ООО «БИАКСПЛЕН» (входит в ПАО «СИБУР Холдинг»),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ДелоПортс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(стивидорный актив Группы компаний «Дело») и др., на поставки электроэнергии, выработанной на основе ветра.</w:t>
      </w:r>
    </w:p>
    <w:p w14:paraId="00000006" w14:textId="77777777" w:rsidR="00BA41CA" w:rsidRDefault="005A133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Росатом выступает системным интегратором проектов по ветроэнерг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етике и эффективно решает весь спектр задач, таких как проектирование ветроэнергетических станций, собственное производство компонентов ВЭУ, управление цепочкой поставщиков и логистикой компонентов на площадку, последующий сервис и эксплуатация.</w:t>
      </w:r>
    </w:p>
    <w:p w14:paraId="00000007" w14:textId="77777777" w:rsidR="00BA41CA" w:rsidRDefault="005A133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начальн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этапе Росатом осуществил трансфер технологий, теперь решаются задачи обеспечения технологической независимости и суверенитета в ветроэнергетической отрасли, значение которой во всем мире будет только расти.</w:t>
      </w:r>
    </w:p>
    <w:p w14:paraId="00000008" w14:textId="77777777" w:rsidR="00BA41CA" w:rsidRDefault="005A133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Несмотря на сложившуюся геополитическую обстан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овку и вызванные ею последствия, Госкорпорация «Росатом» и технологические партнеры проектов по ветроэнергетике поступательно и ответственно подходят к выполнению взятых на себя обязательств как в отношении строительства генерирующих объектов, так и в отно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шении создания отечественных производств.</w:t>
      </w:r>
    </w:p>
    <w:p w14:paraId="00000009" w14:textId="77777777" w:rsidR="00BA41CA" w:rsidRDefault="00BA41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A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Введенные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ветроэлектростанции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АО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»:</w:t>
      </w:r>
    </w:p>
    <w:p w14:paraId="0000000B" w14:textId="77777777" w:rsidR="00BA41CA" w:rsidRDefault="005A133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Адыгейская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ветроэлектростанция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(ВЭС):</w:t>
      </w:r>
    </w:p>
    <w:p w14:paraId="0000000C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Адыгейская ВЭС расположена на границе Шовгеновского и Гиагинского районов Республики Адыгея. Это первый завершенный ветроэнергетический объект Росатома.</w:t>
      </w:r>
    </w:p>
    <w:p w14:paraId="0000000D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составе ВЭС работают 60 ветроэнергетических установок мощностью 2,5 МВт каждая. Суммарная мощность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sz w:val="28"/>
          <w:szCs w:val="28"/>
        </w:rPr>
        <w:t>троэлектростанции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150 МВт.</w:t>
      </w:r>
    </w:p>
    <w:p w14:paraId="0000000E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 1 марта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Адыгейская ВЭС начала поставлять электроэнергию и мощность на оптовый рынок электроэнергии и мощности. Степень локализации оборудования объекта, подтвержденная Министерством промышленности и торговли РФ, — 5</w:t>
      </w:r>
      <w:r>
        <w:rPr>
          <w:rFonts w:ascii="Times New Roman" w:eastAsia="Times New Roman" w:hAnsi="Times New Roman" w:cs="Times New Roman"/>
          <w:sz w:val="28"/>
          <w:szCs w:val="28"/>
        </w:rPr>
        <w:t>5 %.</w:t>
      </w:r>
    </w:p>
    <w:p w14:paraId="0000000F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Общая площадь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ветропарка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период эксплуатации — 60 га. Плановая выработка электроэнергии — 354 млн кВт*ч в год, что составляет 20 % от общего потребления региона.</w:t>
      </w:r>
    </w:p>
    <w:p w14:paraId="00000010" w14:textId="77777777" w:rsidR="00BA41CA" w:rsidRDefault="00BA41CA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BA41CA" w:rsidRDefault="005A133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Кочубеевская ВЭС:</w:t>
      </w:r>
    </w:p>
    <w:p w14:paraId="00000012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декабре 2020 года Росатом ввел в эксплуатацию самую крупную ВЭС в России — Кочубеевскую ВЭС.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Ветропарк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расположен в Ставропольском крае, и на сегодняшний день это самая крупная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ветроэлектростанция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стране.</w:t>
      </w:r>
    </w:p>
    <w:p w14:paraId="00000013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 1 января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Кочубеевская ВЭС поставляе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электроэнергию в единую сеть страны.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Ветропарк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состоит из 84 ветроэнергетических установок мощностью 2,5 МВт каждая. Установленная мощность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ветропарка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составляет 210 МВт. Степень локализации оборудования объекта, подтвержденная Министерством промышленнос</w:t>
      </w:r>
      <w:r>
        <w:rPr>
          <w:rFonts w:ascii="Times New Roman" w:eastAsia="Times New Roman" w:hAnsi="Times New Roman" w:cs="Times New Roman"/>
          <w:sz w:val="28"/>
          <w:szCs w:val="28"/>
        </w:rPr>
        <w:t>ти и торговли РФ, составила 65 %.</w:t>
      </w:r>
    </w:p>
    <w:p w14:paraId="00000014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Общая площадь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ветропарка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период эксплуатации — 75 га. Плановая среднегодовая выработка энергии — 597 млн кВт*ч.</w:t>
      </w:r>
    </w:p>
    <w:p w14:paraId="00000015" w14:textId="77777777" w:rsidR="00BA41CA" w:rsidRDefault="00BA41CA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BA41CA" w:rsidRDefault="005A133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Кармалиновская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ВЭС:</w:t>
      </w:r>
    </w:p>
    <w:p w14:paraId="00000017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 1 апреля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Кармалиновская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ВЭС в Ставропольском крае начала поставлять электр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оэнергию в единую сеть России.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Кармалиновская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ВЭС с установленной мощностью 60 МВт состоит из 24 ветроэнергетических установок мощность 2,5 МВт. Степень локализации оборудования объекта, подтвержденная Министерством промышленности и торговли РФ, составила </w:t>
      </w:r>
      <w:r>
        <w:rPr>
          <w:rFonts w:ascii="Times New Roman" w:eastAsia="Times New Roman" w:hAnsi="Times New Roman" w:cs="Times New Roman"/>
          <w:sz w:val="28"/>
          <w:szCs w:val="28"/>
        </w:rPr>
        <w:t>68 %.</w:t>
      </w:r>
    </w:p>
    <w:p w14:paraId="00000018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Кармалиновская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ВЭС оснащена оборудованием, полностью произведенным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территории России.</w:t>
      </w:r>
    </w:p>
    <w:p w14:paraId="00000019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Плановая среднегодовая выработка энергии — 147 млн кВт*ч.</w:t>
      </w:r>
    </w:p>
    <w:p w14:paraId="0000001A" w14:textId="77777777" w:rsidR="00BA41CA" w:rsidRDefault="00BA41CA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BA41CA" w:rsidRDefault="005A133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Марченковская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ВЭС:</w:t>
      </w:r>
    </w:p>
    <w:p w14:paraId="0000001C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 1 июля 2021 года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Марченковская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ВЭС в Ростовской области начала поставлять электро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энергию в единую сеть России.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Марченковская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ВЭС с установленной мощностью 120 МВт состоит из 48 ветроэнергетических установок мощностью 2,5 МВт каждая. Степень локализации оборудования объекта, подтвержденная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Министерством промышленности и торговли РФ, сос</w:t>
      </w:r>
      <w:r>
        <w:rPr>
          <w:rFonts w:ascii="Times New Roman" w:eastAsia="Times New Roman" w:hAnsi="Times New Roman" w:cs="Times New Roman"/>
          <w:sz w:val="28"/>
          <w:szCs w:val="28"/>
        </w:rPr>
        <w:t>тавляет 68 %.</w:t>
      </w:r>
    </w:p>
    <w:p w14:paraId="0000001D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Марченковская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ВЭС оснащена оборудованием, полностью произведенным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территории России.</w:t>
      </w:r>
    </w:p>
    <w:p w14:paraId="0000001E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Плановая среднегодовая выработка энергии — более 402 ГВт*ч.</w:t>
      </w:r>
    </w:p>
    <w:p w14:paraId="0000001F" w14:textId="77777777" w:rsidR="00BA41CA" w:rsidRDefault="00BA41CA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0" w14:textId="77777777" w:rsidR="00BA41CA" w:rsidRDefault="005A133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Бондаревская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ВЭС:</w:t>
      </w:r>
    </w:p>
    <w:p w14:paraId="00000021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 1 сентября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Бондаревская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ВЭС в Ставропольском крае начала поставлять электроэнергию в единую сеть России.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Бондаревская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ВЭС с установленной мощностью 120 МВт состоит из 48 ветроэнергетических установок мощностью 2,5 МВт каждая. Степень локализации оборудования объекта</w:t>
      </w:r>
      <w:r>
        <w:rPr>
          <w:rFonts w:ascii="Times New Roman" w:eastAsia="Times New Roman" w:hAnsi="Times New Roman" w:cs="Times New Roman"/>
          <w:sz w:val="28"/>
          <w:szCs w:val="28"/>
        </w:rPr>
        <w:t>, подтвержденная Министерством промышленности и торговли РФ, составляет 68 %.</w:t>
      </w:r>
    </w:p>
    <w:p w14:paraId="00000022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Бондаревская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ВЭС оснащена оборудованием, полностью произведенным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территории России.</w:t>
      </w:r>
    </w:p>
    <w:p w14:paraId="00000023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Плановая среднегодовая выработка энергии — 354 млн кВт*ч.</w:t>
      </w:r>
    </w:p>
    <w:p w14:paraId="00000024" w14:textId="77777777" w:rsidR="00BA41CA" w:rsidRDefault="00BA41CA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5" w14:textId="77777777" w:rsidR="00BA41CA" w:rsidRDefault="005A133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Медвеженская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ВЭС:</w:t>
      </w:r>
    </w:p>
    <w:p w14:paraId="00000026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 1 декабря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Медвеженская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ВЭС в Ставропольском крае начала поставлять электроэнергию в единую сеть России.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Медвеженская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ВЭС с установленной мощностью 60 МВт состоит из 24 ветроэнергетических установок мощностью 2,5 МВт каждая. Степень локализации оборудования о</w:t>
      </w:r>
      <w:r>
        <w:rPr>
          <w:rFonts w:ascii="Times New Roman" w:eastAsia="Times New Roman" w:hAnsi="Times New Roman" w:cs="Times New Roman"/>
          <w:sz w:val="28"/>
          <w:szCs w:val="28"/>
        </w:rPr>
        <w:t>бъекта, подтвержденная Министерством промышленности и торговли РФ, составляет 68 %.</w:t>
      </w:r>
    </w:p>
    <w:p w14:paraId="00000027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Медвеженская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ВЭС оснащена оборудованием, полностью произведенным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территории России.</w:t>
      </w:r>
    </w:p>
    <w:p w14:paraId="00000028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Плановая среднегодовая выработка энергии — 171 млн кВт*ч.</w:t>
      </w:r>
    </w:p>
    <w:p w14:paraId="00000029" w14:textId="77777777" w:rsidR="00BA41CA" w:rsidRDefault="00BA41CA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A" w14:textId="77777777" w:rsidR="00BA41CA" w:rsidRDefault="005A133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Берестовская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ВЭС:</w:t>
      </w:r>
    </w:p>
    <w:p w14:paraId="0000002B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 1 янва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ря 2023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Берестовская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ВЭС в Ставропольском крае начала поставлять электроэнергию в единую сеть России.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Берестовская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ВЭС с установленной мощностью 60 МВт состоит из 24 ветроэнергетических установок мощностью 2,5 МВт каждая. Степень локализации оборудования объекта,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подтвержденная Министерством промышленности и торговли РФ, составляет 68 %.</w:t>
      </w:r>
    </w:p>
    <w:p w14:paraId="0000002C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Берестовская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ВЭС оснащена оборудованием, полностью произведенным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территории России.</w:t>
      </w:r>
    </w:p>
    <w:p w14:paraId="0000002D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Плановая среднегодовая выработка энергии — 175,5 млн кВт*ч.</w:t>
      </w:r>
    </w:p>
    <w:p w14:paraId="0000002E" w14:textId="77777777" w:rsidR="00BA41CA" w:rsidRDefault="00BA41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F" w14:textId="77777777" w:rsidR="00BA41CA" w:rsidRDefault="005A133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Кузьминская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ВЭС: </w:t>
      </w:r>
    </w:p>
    <w:p w14:paraId="00000030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 1 июня 2023 года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Кузьминская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ВЭС в Ставропольском крае начала поставлять электроэнергию в единую сеть России.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Кузьминская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ВЭС с установленной мощностью 160 МВт состоит из 64 ветроэнергетических установок мощностью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2,5 МВт каждая. Степен</w:t>
      </w:r>
      <w:r>
        <w:rPr>
          <w:rFonts w:ascii="Times New Roman" w:eastAsia="Times New Roman" w:hAnsi="Times New Roman" w:cs="Times New Roman"/>
          <w:sz w:val="28"/>
          <w:szCs w:val="28"/>
        </w:rPr>
        <w:t>ь локализации оборудования объекта, подтвержденная Министерством промышленности и торговли РФ, составляет 68 %.</w:t>
      </w:r>
    </w:p>
    <w:p w14:paraId="00000031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Кузьминская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ВЭС оснащена оборудованием, полностью произведенным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территории России.</w:t>
      </w:r>
    </w:p>
    <w:p w14:paraId="00000032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Плановая среднегодовая выработка энергии — 378 млн кВт*ч.</w:t>
      </w:r>
    </w:p>
    <w:p w14:paraId="00000033" w14:textId="77777777" w:rsidR="00BA41CA" w:rsidRDefault="00BA41CA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4" w14:textId="77777777" w:rsidR="00BA41CA" w:rsidRDefault="005A133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Труновская ВЭС:</w:t>
      </w:r>
    </w:p>
    <w:p w14:paraId="00000035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 1 октября 2023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Труновская ВЭС в Ставропольском крае (1-й этап установленной мощностью 60 МВт, 24 ветроэнергетические установки мощностью 2,5 МВт каждая) начала поставлять электроэнергию в единую сеть России. Общая установленная мощн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ость Труновской ВЭС составит 95 МВт.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Ветропарк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будет состоять из 38 ветроэнергетических установок мощностью 2,5 МВт каждая. Степень локализации оборудования введенной части объекта, подтвержденная Министерством промышленности и торговли РФ, составляет 68 %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36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Труновская ВЭС оснащена оборудованием, полностью произведенным на территории России.</w:t>
      </w:r>
    </w:p>
    <w:p w14:paraId="00000037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Плановая среднегодовая выработка энергии — 225 млн кВт*ч.</w:t>
      </w:r>
    </w:p>
    <w:p w14:paraId="00000038" w14:textId="77777777" w:rsidR="00BA41CA" w:rsidRDefault="00BA41CA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39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 вводом 1-го этапа Труновской ВЭС суммарный объем введенных ветроэнергетических мощностей Росатома составил 1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ГВт.</w:t>
      </w:r>
    </w:p>
    <w:p w14:paraId="0000003A" w14:textId="77777777" w:rsidR="00BA41CA" w:rsidRDefault="00BA41CA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B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Проекты в стадии реализации:</w:t>
      </w:r>
    </w:p>
    <w:p w14:paraId="0000003C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настоящее время Росатом осуществляет реализацию программы строительства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2-го этапа Труновской ВЭС мощностью 35 МВт (14 ветроэнергетических установок мощностью 2,5 МВт каждая) в Ставропольском крае.</w:t>
      </w:r>
    </w:p>
    <w:p w14:paraId="0000003D" w14:textId="77777777" w:rsidR="00BA41CA" w:rsidRDefault="005A13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ведутся подготовительные работы для начала реализации программы строительства Новолакской ВЭС мощностью 300 МВт, которая буд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 расположена в Республике Дагестан. Начало строительства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ветропарка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запланировано на 2024 год.</w:t>
      </w:r>
    </w:p>
    <w:p w14:paraId="0000003E" w14:textId="77777777" w:rsidR="00BA41CA" w:rsidRDefault="00BA41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gjdgxs" w:colFirst="0" w:colLast="0"/>
      <w:bookmarkEnd w:id="0"/>
    </w:p>
    <w:p w14:paraId="0000003F" w14:textId="77777777" w:rsidR="00BA41CA" w:rsidRDefault="005A133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сегодняшний день введено в эксплуатацию уже 1000 МВт ветроэнергетических мощностей. Это 9 ветроэнергетических станций на юге России.</w:t>
      </w:r>
    </w:p>
    <w:p w14:paraId="00000040" w14:textId="77777777" w:rsidR="00BA41CA" w:rsidRDefault="005A133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Всего до 2027 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дприятиям в контуре управления АО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предстоит создать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ветроэлектростанции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общей мощностью порядка 1,7 ГВт (с учетом уже введенных мощностей).</w:t>
      </w:r>
    </w:p>
    <w:p w14:paraId="00000041" w14:textId="77777777" w:rsidR="00BA41CA" w:rsidRDefault="005A133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Для автоматизации контроля и управления работы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ветроэлектростанций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АО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разработа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программное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решение, позволяющее в режиме реального времени собирать информацию по работе каждой ВЭУ для анализа и оперативного реагирования обслуживающего персонала. Это позволило компании быть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импортонезависимой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части программного обеспечения для управления ВЭС.</w:t>
      </w:r>
    </w:p>
    <w:sectPr w:rsidR="00BA41CA">
      <w:pgSz w:w="11906" w:h="16838"/>
      <w:pgMar w:top="1134" w:right="567" w:bottom="1134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A5651"/>
    <w:multiLevelType w:val="multilevel"/>
    <w:tmpl w:val="5AE685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A6694"/>
    <w:multiLevelType w:val="multilevel"/>
    <w:tmpl w:val="1D500044"/>
    <w:lvl w:ilvl="0">
      <w:start w:val="1"/>
      <w:numFmt w:val="bullet"/>
      <w:lvlText w:val="●"/>
      <w:lvlJc w:val="left"/>
      <w:pPr>
        <w:ind w:left="26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1CA"/>
    <w:rsid w:val="005A133D"/>
    <w:rsid w:val="00BA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B1F11-D5B8-4E1E-BAD5-AC258BDE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7A1EC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4B1BC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B1BC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B1BC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B1BC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B1BC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B1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1BC4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unhideWhenUsed/>
    <w:rsid w:val="00A46E3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46E3D"/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y9yeNByLDVqNr3l5M0Nberk92g==">CgMxLjAikAIKC0FBQUE3aWVjR2JNEtoBCgtBQUFBN2llY0diTRILQUFBQTdpZWNHYk0aDQoJdGV4dC9odG1sEgAiDgoKdGV4dC9wbGFpbhIAKhsiFTEwNDY5MzgyMTIyOTc1NjQxMjE1MSgAOAAwu7qD/q4xOK/Bg/6uMUo6CiRhcHBsaWNhdGlvbi92bmQuZ29vZ2xlLWFwcHMuZG9jcy5tZHMaEsLX2uQBDBIKCgYKABAUGAAQAVoMdzBtNDlzbjEwOWp6cgIgAHgAggEUc3VnZ2VzdC5kdjMwYXlhbXRkdzSaAQYIABAAGACwAQC4AQAYu7qD/q4xIK/Bg/6uMTAAQhRzdWdnZXN0LmR2MzBheWFtdGR3NDIIaC5namRneHM4AGohChRzdWdnZXN0LmJ6NXVvYncyN2tnNRIJQW5kcmV5IFMuaiEKFHN1Z2dlc3QudHExbnNrYjUzZTRqEglBbmRyZXkgUy5qIQoUc3VnZ2VzdC5maW9vaHBraGh4bzESCUFuZHJleSBTLmohChRzdWdnZXN0LjYwOHl2eTd2ajIwZRIJQW5kcmV5IFMuaiEKFHN1Z2dlc3Quc2huMWozcmtoeWF0EglBbmRyZXkgUy5qIQoUc3VnZ2VzdC5vcGxlem9sMzc3NHASCUFuZHJleSBTLmohChRzdWdnZXN0LnR3OHU3ejRtNm5pdhIJQW5kcmV5IFMuaiEKFHN1Z2dlc3QuMnBhcW42OHZucWE2EglBbmRyZXkgUy5qIQoUc3VnZ2VzdC5mYTFmcmNveXM4ZmoSCUFuZHJleSBTLmohChRzdWdnZXN0LmR3bHc1cmw0dzJ2bxIJQW5kcmV5IFMuaiEKFHN1Z2dlc3Quam4wd2Q4Nzd6c3loEglBbmRyZXkgUy5qIAoTc3VnZ2VzdC5udTRnemQzdmh3bBIJQW5kcmV5IFMuaiEKFHN1Z2dlc3QuNXRudGxncXowYzRoEglBbmRyZXkgUy5qIAoTc3VnZ2VzdC54ZnMyMHRiYnFlaRIJQW5kcmV5IFMuaiEKFHN1Z2dlc3Qua2ltZ2FhN214YnhqEglBbmRyZXkgUy5qIQoUc3VnZ2VzdC5hdDd4aWJvdzZnbDASCUFuZHJleSBTLmogChNzdWdnZXN0LnR2dndrcGt4NjM2EglBbmRyZXkgUy5qIAoTc3VnZ2VzdC5taHUwZjVpdTgzchIJQW5kcmV5IFMuaiEKFHN1Z2dlc3Qua3V0c2VjeGd0aG8wEglBbmRyZXkgUy5qIQoUc3VnZ2VzdC5lcGRmOG5mb3VtZXcSCUFuZHJleSBTLmohChRzdWdnZXN0LjZpOHhoOHIxZ3hmNRIJQW5kcmV5IFMuaiEKFHN1Z2dlc3QueTdpcGk1aXBzZ2lzEglBbmRyZXkgUy5qIQoUc3VnZ2VzdC5sNjVnY2w0cGd6bncSCUFuZHJleSBTLmohChRzdWdnZXN0LjZwa2N5MTl5MWsyehIJQW5kcmV5IFMuaiEKFHN1Z2dlc3QubTFtYnV5OXc0endhEglBbmRyZXkgUy5qIQoUc3VnZ2VzdC55bnVoaTV1MTNlbHgSCUFuZHJleSBTLmohChRzdWdnZXN0LmtkZnRrYjNpbTZ4bRIJQW5kcmV5IFMuaiEKFHN1Z2dlc3QuM284d3oxbWw2aTVhEglBbmRyZXkgUy5qIQoUc3VnZ2VzdC5kdjMwYXlhbXRkdzQSCUFuZHJleSBTLmohChRzdWdnZXN0LjlvaGJobGRtZW0zaRIJQW5kcmV5IFMuaiEKFHN1Z2dlc3QueXB6a2QxOWNsMGxrEglBbmRyZXkgUy5qIQoUc3VnZ2VzdC42bzFtMHJkOXN2MTASCUFuZHJleSBTLmogChNzdWdnZXN0LnRvbDk3Y3g3eXB0EglBbmRyZXkgUy5qIQoUc3VnZ2VzdC5xbnZleHNnOHgwaDQSCUFuZHJleSBTLmohChRzdWdnZXN0LnQ0ZG50bGdvZXJubhIJQW5kcmV5IFMuaiEKFHN1Z2dlc3Qud2tpbHF4cGN0YmU4EglBbmRyZXkgUy5qIQoUc3VnZ2VzdC42N21ndHBxdDd3OGESCUFuZHJleSBTLmohChRzdWdnZXN0LjQzYXprY283YTV2ORIJQW5kcmV5IFMuaiEKFHN1Z2dlc3QucWhsdGVtbHp0NHF4EglBbmRyZXkgUy5qIQoUc3VnZ2VzdC52bnlvMzZvZmxrdjMSCUFuZHJleSBTLnIhMWRweEpVemM4dWNxajc0YU5QTThNbTd4SG5WLVY2SE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1245</Words>
  <Characters>7097</Characters>
  <Application>Microsoft Office Word</Application>
  <DocSecurity>0</DocSecurity>
  <Lines>59</Lines>
  <Paragraphs>16</Paragraphs>
  <ScaleCrop>false</ScaleCrop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Каюкова Ольга Геннадьевна</dc:creator>
  <cp:lastModifiedBy>Павел Деревянко</cp:lastModifiedBy>
  <cp:revision>2</cp:revision>
  <dcterms:created xsi:type="dcterms:W3CDTF">2023-10-02T11:44:00Z</dcterms:created>
  <dcterms:modified xsi:type="dcterms:W3CDTF">2023-10-02T11:44:00Z</dcterms:modified>
</cp:coreProperties>
</file>