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B1EF3" w:rsidRDefault="000C19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День эколога</w:t>
      </w:r>
    </w:p>
    <w:p w14:paraId="00000002" w14:textId="77777777" w:rsidR="002B1EF3" w:rsidRDefault="002B1EF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 Всемирный день окружающей среды, в России отмечается День эколога —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</w:rPr>
          <w:t>профессиональный праздник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всех </w:t>
      </w:r>
      <w:hyperlink r:id="rId7">
        <w:r>
          <w:rPr>
            <w:rFonts w:ascii="Times New Roman" w:eastAsia="Times New Roman" w:hAnsi="Times New Roman" w:cs="Times New Roman"/>
            <w:sz w:val="28"/>
            <w:szCs w:val="28"/>
          </w:rPr>
          <w:t>российских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защитников природы, специалистов по </w:t>
      </w:r>
      <w:hyperlink r:id="rId8">
        <w:r>
          <w:rPr>
            <w:rFonts w:ascii="Times New Roman" w:eastAsia="Times New Roman" w:hAnsi="Times New Roman" w:cs="Times New Roman"/>
            <w:sz w:val="28"/>
            <w:szCs w:val="28"/>
          </w:rPr>
          <w:t>охране окружающей среды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общественных деятелей и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</w:rPr>
          <w:t>экологов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-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</w:rPr>
          <w:t>активистов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 День эколога в России был учрежден Указом Президента РФ Владимира Путина 21 июля 2007 года по инициативе Комитета по экологии Государственной думы РФ.</w:t>
      </w:r>
    </w:p>
    <w:p w14:paraId="00000004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Для Росатома, лидера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низгоуглеродной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энергетики, развитие ветроэнергетики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важным элементом зеленого портфеля.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вносят свой вклад в обеспечение производства для страны чистой энергии. Цель — 25 % атомной энергии в балансе и достижение углеродной нейтральности к 2060 году.</w:t>
      </w:r>
    </w:p>
    <w:p w14:paraId="00000006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2B1EF3" w:rsidRDefault="002B1EF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2B1EF3" w:rsidRDefault="000C19E1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Преимущества ветроэнергетики:</w:t>
      </w:r>
    </w:p>
    <w:p w14:paraId="00000009" w14:textId="77777777" w:rsidR="002B1EF3" w:rsidRDefault="000C19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ыстрая установк</w:t>
      </w:r>
      <w:r>
        <w:rPr>
          <w:rFonts w:ascii="Times New Roman" w:eastAsia="Times New Roman" w:hAnsi="Times New Roman" w:cs="Times New Roman"/>
          <w:sz w:val="28"/>
          <w:szCs w:val="28"/>
        </w:rPr>
        <w:t>а, низкие затраты на техническое 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эксплуатацию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A" w14:textId="77777777" w:rsidR="002B1EF3" w:rsidRDefault="000C19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тсутствие загрязнения окружающей среды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роизводство энергии из ветра не приводит к выбросам вредных веществ в атмосферу или образованию отходов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B" w14:textId="77777777" w:rsidR="002B1EF3" w:rsidRDefault="000C19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ерритория в непосредственной близости может бы</w:t>
      </w:r>
      <w:r>
        <w:rPr>
          <w:rFonts w:ascii="Times New Roman" w:eastAsia="Times New Roman" w:hAnsi="Times New Roman" w:cs="Times New Roman"/>
          <w:sz w:val="28"/>
          <w:szCs w:val="28"/>
        </w:rPr>
        <w:t>ть полностью использована для сельскохозяйственных целей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0C" w14:textId="77777777" w:rsidR="002B1EF3" w:rsidRDefault="000C19E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возобновляемых источников энергии позволяет экономить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топливе, на процессе его добычи и транспортировки.</w:t>
      </w:r>
    </w:p>
    <w:p w14:paraId="0000000D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2B1EF3" w:rsidRDefault="000C19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 выборе места для строительства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обычно учитывают множество 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акторов:</w:t>
      </w:r>
    </w:p>
    <w:p w14:paraId="0000000F" w14:textId="77777777" w:rsidR="002B1EF3" w:rsidRDefault="000C19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климатические условия;</w:t>
      </w:r>
    </w:p>
    <w:p w14:paraId="00000010" w14:textId="77777777" w:rsidR="002B1EF3" w:rsidRDefault="000C19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подключения к объектам сетевой инфраструктуры;</w:t>
      </w:r>
    </w:p>
    <w:p w14:paraId="00000011" w14:textId="77777777" w:rsidR="002B1EF3" w:rsidRDefault="000C19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транспортная доступность локаций (наличие и удаленность от дорог, подходящих для транспортировки строительной техники и компонентов ВЭУ; анализ ограничений на маршрутах доставки комплектующих (мосты, тоннели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т. д.);</w:t>
      </w:r>
    </w:p>
    <w:p w14:paraId="00000012" w14:textId="77777777" w:rsidR="002B1EF3" w:rsidRDefault="000C19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влияние на качество жизни населения (шумовые эффекты, визуальное воздействие, эффект мерцающей тени от ВЭУ);</w:t>
      </w:r>
    </w:p>
    <w:p w14:paraId="00000013" w14:textId="77777777" w:rsidR="002B1EF3" w:rsidRDefault="000C19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ветровые ресурсы (в зависимости от класса используемой ВЭУ ветер должен быть от 5,5 м/с и выше).</w:t>
      </w:r>
    </w:p>
    <w:p w14:paraId="00000014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2B1EF3" w:rsidRDefault="000C19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Росатома на окружающую среду</w:t>
      </w:r>
    </w:p>
    <w:p w14:paraId="00000016" w14:textId="77777777" w:rsidR="002B1EF3" w:rsidRDefault="002B1EF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7" w14:textId="77777777" w:rsidR="002B1EF3" w:rsidRDefault="000C1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ыработка всех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ветроэлектростанций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с момента ввода первой ВЭС в эксплуатацию составила более 4 млн МВт*ч электроэнергии. Работа всех ВЭС за этот период позволила не допустить выбросы парниковых газов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атмосферный воздух в объеме более 1,5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 тонн эквивалента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CO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8" w14:textId="77777777" w:rsidR="002B1EF3" w:rsidRDefault="000C19E1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сравнения: в среднем один легковой автомобиль в год эмитирует порядка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4,6 т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Таким образом, 1,5 млн т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CO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vertAlign w:val="subscript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год могут эмитировать около 320 тыс. автомобилей. По данным аналитического агентства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Автостат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», это больше чем количество автомобилей, зарегистрированных в г. Перми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(248 тыс. автомобилей) с населением более 1 млн человек.</w:t>
      </w:r>
    </w:p>
    <w:p w14:paraId="00000019" w14:textId="77777777" w:rsidR="002B1EF3" w:rsidRDefault="000C1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Кузьминская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ВЭС может обеспечи</w:t>
      </w:r>
      <w:r>
        <w:rPr>
          <w:rFonts w:ascii="Times New Roman" w:eastAsia="Times New Roman" w:hAnsi="Times New Roman" w:cs="Times New Roman"/>
          <w:sz w:val="28"/>
          <w:szCs w:val="28"/>
        </w:rPr>
        <w:t>ть электроэнергией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70 000 домохозяйств ежемесячно.</w:t>
      </w:r>
    </w:p>
    <w:p w14:paraId="0000001A" w14:textId="77777777" w:rsidR="002B1EF3" w:rsidRDefault="000C1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окончания строительства ВЭС и ввода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эксплуатацию происходит рекультивация земель (возвращается плодородный слой), и земли передаются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сельхозоборот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Турбины занимают только 1 %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всей территории ветряной фермы,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99 %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 занят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сельское хозяйство.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Росатома используются под пастбища и поля для сельскохозяйственных культур (подсолнечник, овес, пшеница, кукуруза и др.).</w:t>
      </w:r>
    </w:p>
    <w:p w14:paraId="0000001B" w14:textId="77777777" w:rsidR="002B1EF3" w:rsidRDefault="000C19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Росатома, 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низгоуглеродной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энергетики, развитие ветроэнергетики является важным элементом зеленого портфеля.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Ветропарки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вносят свой вклад в обеспечение производства для страны чистой энергии. Цель </w:t>
      </w: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25 % атомной энергии в балансе и достижение углеродной нейтраль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2060 году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C" w14:textId="77777777" w:rsidR="002B1EF3" w:rsidRDefault="002B1EF3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2B1EF3" w:rsidRDefault="000C19E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Мифы о ветроэнергетике:</w:t>
      </w:r>
    </w:p>
    <w:p w14:paraId="0000001E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F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Миф 1. Шум и низкочастотные вибрации</w:t>
      </w:r>
    </w:p>
    <w:p w14:paraId="00000020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и любой другой механизм, работающая ветроэнергетическая установка издает звук. Увы, с этим ничего не поделать. По существующим сейчас нормам установка турбин происходит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расстоянии не ближе 300 метров от жилья, громкость звука при этом колеблется от 35 до 45 дБ. </w:t>
      </w:r>
    </w:p>
    <w:p w14:paraId="00000021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сравнения: громкость обычного домашнего холодильника — около 40 дБ. Таким образом, шум от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ветростановки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находится в пределах нормы.</w:t>
      </w:r>
    </w:p>
    <w:p w14:paraId="00000022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3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Миф 2. Повышенная гибел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ь птиц и летучих мышей в зонах расположения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ветропарков</w:t>
      </w:r>
      <w:proofErr w:type="spellEnd"/>
    </w:p>
    <w:p w14:paraId="00000024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современные ветроэнергетические установки оборудованы специальными устройствами отпугивания и защиты от диких животных и птиц: звуки, радары, тепловизоры. Кроме того, лопасти могут автоматически о</w:t>
      </w:r>
      <w:r>
        <w:rPr>
          <w:rFonts w:ascii="Times New Roman" w:eastAsia="Times New Roman" w:hAnsi="Times New Roman" w:cs="Times New Roman"/>
          <w:sz w:val="28"/>
          <w:szCs w:val="28"/>
        </w:rPr>
        <w:t>тключаться в периоды наибольшей активности пернатых.</w:t>
      </w:r>
    </w:p>
    <w:p w14:paraId="00000025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Предпроектные работы также предполагают обязательные исследования путей миграции и ареалов обитания популяций диких птиц и летучих мышей.</w:t>
      </w:r>
    </w:p>
    <w:p w14:paraId="00000026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7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Миф 3. Непредсказуемость энергии ветра</w:t>
      </w:r>
    </w:p>
    <w:p w14:paraId="00000028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Модернизация компонентов ветроэнергетических установок, автоматизация работы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етропарка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предиктивная аналитика, использование прогностических карт и постоянное исследование характеристик ветра позволяют планировать генерацию и хранение электроэнергии, уменьшая потребность использования традиционных источников энергии.</w:t>
      </w:r>
    </w:p>
    <w:p w14:paraId="00000029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в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ваВинд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работает коммерческо-диспетчерский центр (КДЦ) по централизации процессов краткосрочного прогнозирования выработки электроэнергии ВЭС. КДЦ функционирует в режиме 24/7 и предусматривает реализацию комплекса функций при работе на оптовом рынке электр</w:t>
      </w:r>
      <w:r>
        <w:rPr>
          <w:rFonts w:ascii="Times New Roman" w:eastAsia="Times New Roman" w:hAnsi="Times New Roman" w:cs="Times New Roman"/>
          <w:sz w:val="28"/>
          <w:szCs w:val="28"/>
        </w:rPr>
        <w:t>оэнергии и мощности от оперативной подачи заявок с прогнозными значениями выработки электроэнергии до аналитических задач по поиску и анализу факторов, влияющих на эффективность работы ВЭС.</w:t>
      </w:r>
    </w:p>
    <w:p w14:paraId="0000002A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реализации проекта специалистами компании была разработана инн</w:t>
      </w:r>
      <w:r>
        <w:rPr>
          <w:rFonts w:ascii="Times New Roman" w:eastAsia="Times New Roman" w:hAnsi="Times New Roman" w:cs="Times New Roman"/>
          <w:sz w:val="28"/>
          <w:szCs w:val="28"/>
        </w:rPr>
        <w:t>овационная информационно-аналитическая система поддержки принятия решений при прогнозировании выработки, основанная на современных алгоритмах анализа данных, в том числе с использованием машинного обучения.</w:t>
      </w:r>
    </w:p>
    <w:p w14:paraId="0000002B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Миф 4. Стоимость энергии ветра и долгий срок «эн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ергетической окупаемости»</w:t>
      </w:r>
    </w:p>
    <w:p w14:paraId="0000002D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Иногда приходится слышать, что ветрогенератор никогда не вырабатывает то количество энергии, которое было затрачено на его производство. Эта, мягко говоря, наивная точка зрения подразумевает, что человечество вкладывает сотни милл</w:t>
      </w:r>
      <w:r>
        <w:rPr>
          <w:rFonts w:ascii="Times New Roman" w:eastAsia="Times New Roman" w:hAnsi="Times New Roman" w:cs="Times New Roman"/>
          <w:sz w:val="28"/>
          <w:szCs w:val="28"/>
        </w:rPr>
        <w:t>иардов долларов ежегодно в какое-то бессмысленное предприятие. Очевидно, что срок возврата энергетических затрат зависит от места размещения объекта.</w:t>
      </w:r>
    </w:p>
    <w:p w14:paraId="0000002E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большинстве случаев девелоперы все-таки действуют разумно и устанавливают объекты ВИЭ-генерации в подход</w:t>
      </w:r>
      <w:r>
        <w:rPr>
          <w:rFonts w:ascii="Times New Roman" w:eastAsia="Times New Roman" w:hAnsi="Times New Roman" w:cs="Times New Roman"/>
          <w:sz w:val="28"/>
          <w:szCs w:val="28"/>
        </w:rPr>
        <w:t>ящих природных условиях.</w:t>
      </w:r>
    </w:p>
    <w:p w14:paraId="0000002F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Стоимость энергии ветра для потребителя определяется рынком. Потребитель платит за энергию ветра ровно столько, сколько платит за электроэнергию, произведенную любым иным образом.</w:t>
      </w:r>
    </w:p>
    <w:p w14:paraId="00000030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1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Миф 5.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Ветроэлектростанции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негативно влияют на зем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ельные ресурсы</w:t>
      </w:r>
    </w:p>
    <w:p w14:paraId="00000032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результатам многомесячных исследований, в непосредственной близости от ВЭУ улучшается вывод углекислого газа из почвы, что, в свою очередь, способствует фотосинтезу и росту зерновых культур и сои. </w:t>
      </w:r>
    </w:p>
    <w:p w14:paraId="00000033" w14:textId="77777777" w:rsidR="002B1EF3" w:rsidRDefault="000C19E1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Аргумент: фундамент ветроэнергетич</w:t>
      </w:r>
      <w:r>
        <w:rPr>
          <w:rFonts w:ascii="Times New Roman" w:eastAsia="Times New Roman" w:hAnsi="Times New Roman" w:cs="Times New Roman"/>
          <w:sz w:val="28"/>
          <w:szCs w:val="28"/>
        </w:rPr>
        <w:t>еской установки (ВЭУ) диаметром около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10 м обычно полностью находится под землей, а это позволяет расширить сельскохозяйственное использование земли практически до самого основания башни. Последние исследования не только не подтверждают отрицательного влия</w:t>
      </w:r>
      <w:r>
        <w:rPr>
          <w:rFonts w:ascii="Times New Roman" w:eastAsia="Times New Roman" w:hAnsi="Times New Roman" w:cs="Times New Roman"/>
          <w:sz w:val="28"/>
          <w:szCs w:val="28"/>
        </w:rPr>
        <w:t>ния работы ВЭУ на растительность, а, наоборот, отмечают их возможное положительное влияние на сельскохозяйственные культуры.</w:t>
      </w:r>
    </w:p>
    <w:p w14:paraId="00000034" w14:textId="77777777" w:rsidR="002B1EF3" w:rsidRDefault="002B1EF3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B1EF3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F83"/>
    <w:multiLevelType w:val="multilevel"/>
    <w:tmpl w:val="19E6C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E75718"/>
    <w:multiLevelType w:val="multilevel"/>
    <w:tmpl w:val="D986A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876B89"/>
    <w:multiLevelType w:val="multilevel"/>
    <w:tmpl w:val="8BEEC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F3"/>
    <w:rsid w:val="000C19E1"/>
    <w:rsid w:val="002B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B8855-64E2-4273-B930-BAADF53C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D283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66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4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2E6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57548"/>
    <w:rPr>
      <w:color w:val="0000FF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1%85%D1%80%D0%B0%D0%BD%D0%B0_%D0%BE%D0%BA%D1%80%D1%83%D0%B6%D0%B0%D1%8E%D1%89%D0%B5%D0%B9_%D1%81%D1%80%D0%B5%D0%B4%D1%8B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1%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1%80%D0%BE%D1%84%D0%B5%D1%81%D1%81%D0%B8%D0%BE%D0%BD%D0%B0%D0%BB%D1%8C%D0%BD%D1%8B%D0%B9_%D0%BF%D1%80%D0%B0%D0%B7%D0%B4%D0%BD%D0%B8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A%D1%82%D0%B8%D0%B2%D0%B8%D1%81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0%BA%D0%BE%D0%BB%D0%BE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9Baqdch8MGglLOxmiPLcHvJTQA==">CgMxLjAyCGguZ2pkZ3hzOAByITFOY0lqeHoxLVhkcHpaZzhhS0dUamJuZTlhSXVNYjM4RQ==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КСП ИЦАЭ</cp:lastModifiedBy>
  <cp:revision>2</cp:revision>
  <dcterms:created xsi:type="dcterms:W3CDTF">2023-06-05T08:49:00Z</dcterms:created>
  <dcterms:modified xsi:type="dcterms:W3CDTF">2023-06-05T08:49:00Z</dcterms:modified>
</cp:coreProperties>
</file>